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Spec="center" w:tblpY="1241"/>
        <w:tblW w:w="4679" w:type="dxa"/>
        <w:tblLook w:val="01E0" w:firstRow="1" w:lastRow="1" w:firstColumn="1" w:lastColumn="1" w:noHBand="0" w:noVBand="0"/>
      </w:tblPr>
      <w:tblGrid>
        <w:gridCol w:w="4679"/>
      </w:tblGrid>
      <w:tr w:rsidR="00181960" w:rsidRPr="00EA4FD3" w:rsidTr="00B36FD2">
        <w:trPr>
          <w:trHeight w:val="57"/>
        </w:trPr>
        <w:tc>
          <w:tcPr>
            <w:tcW w:w="4679" w:type="dxa"/>
            <w:shd w:val="clear" w:color="auto" w:fill="auto"/>
          </w:tcPr>
          <w:p w:rsidR="00181960" w:rsidRPr="00EA4FD3" w:rsidRDefault="00181960" w:rsidP="00C8321D">
            <w:pPr>
              <w:tabs>
                <w:tab w:val="left" w:pos="312"/>
                <w:tab w:val="center" w:pos="2231"/>
              </w:tabs>
              <w:spacing w:line="57" w:lineRule="atLeast"/>
              <w:jc w:val="center"/>
              <w:rPr>
                <w:b/>
                <w:noProof/>
              </w:rPr>
            </w:pPr>
            <w:r w:rsidRPr="00EA4FD3">
              <w:rPr>
                <w:b/>
                <w:noProof/>
              </w:rPr>
              <w:drawing>
                <wp:inline distT="0" distB="0" distL="0" distR="0" wp14:anchorId="2E7FAB05" wp14:editId="72D0A998">
                  <wp:extent cx="309880" cy="516890"/>
                  <wp:effectExtent l="0" t="0" r="0" b="0"/>
                  <wp:docPr id="1" name="Picture 1" descr="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880" cy="516890"/>
                          </a:xfrm>
                          <a:prstGeom prst="rect">
                            <a:avLst/>
                          </a:prstGeom>
                          <a:noFill/>
                          <a:ln>
                            <a:noFill/>
                          </a:ln>
                        </pic:spPr>
                      </pic:pic>
                    </a:graphicData>
                  </a:graphic>
                </wp:inline>
              </w:drawing>
            </w:r>
          </w:p>
          <w:p w:rsidR="00181960" w:rsidRPr="00EA4FD3" w:rsidRDefault="00181960" w:rsidP="00C8321D">
            <w:pPr>
              <w:spacing w:line="57" w:lineRule="atLeast"/>
              <w:jc w:val="center"/>
              <w:rPr>
                <w:b/>
              </w:rPr>
            </w:pPr>
          </w:p>
        </w:tc>
      </w:tr>
      <w:tr w:rsidR="00181960" w:rsidRPr="00EA4FD3" w:rsidTr="00B36FD2">
        <w:trPr>
          <w:trHeight w:val="56"/>
        </w:trPr>
        <w:tc>
          <w:tcPr>
            <w:tcW w:w="4679" w:type="dxa"/>
            <w:shd w:val="clear" w:color="auto" w:fill="auto"/>
          </w:tcPr>
          <w:p w:rsidR="00181960" w:rsidRPr="00EA4FD3" w:rsidRDefault="00181960" w:rsidP="00C8321D">
            <w:pPr>
              <w:spacing w:line="56" w:lineRule="atLeast"/>
              <w:jc w:val="center"/>
              <w:rPr>
                <w:b/>
              </w:rPr>
            </w:pPr>
            <w:r w:rsidRPr="00EA4FD3">
              <w:rPr>
                <w:b/>
              </w:rPr>
              <w:t xml:space="preserve">REPUBLIC OF SERBIA </w:t>
            </w:r>
          </w:p>
          <w:p w:rsidR="00181960" w:rsidRPr="00EA4FD3" w:rsidRDefault="00181960" w:rsidP="00C8321D">
            <w:pPr>
              <w:spacing w:line="56" w:lineRule="atLeast"/>
              <w:jc w:val="center"/>
              <w:rPr>
                <w:b/>
              </w:rPr>
            </w:pPr>
            <w:r w:rsidRPr="00EA4FD3">
              <w:rPr>
                <w:b/>
              </w:rPr>
              <w:t>MINISTRY OF INTERIOR</w:t>
            </w:r>
          </w:p>
        </w:tc>
      </w:tr>
      <w:tr w:rsidR="00181960" w:rsidRPr="00EA4FD3" w:rsidTr="00B36FD2">
        <w:trPr>
          <w:trHeight w:val="56"/>
        </w:trPr>
        <w:tc>
          <w:tcPr>
            <w:tcW w:w="4679" w:type="dxa"/>
            <w:shd w:val="clear" w:color="auto" w:fill="auto"/>
          </w:tcPr>
          <w:p w:rsidR="00181960" w:rsidRPr="00EA4FD3" w:rsidRDefault="00181960" w:rsidP="00C8321D">
            <w:pPr>
              <w:spacing w:line="56" w:lineRule="atLeast"/>
              <w:jc w:val="center"/>
              <w:outlineLvl w:val="1"/>
              <w:rPr>
                <w:bCs/>
                <w:iCs/>
              </w:rPr>
            </w:pPr>
            <w:r w:rsidRPr="00EA4FD3">
              <w:rPr>
                <w:bCs/>
                <w:iCs/>
              </w:rPr>
              <w:t>Sector for Emergency Management</w:t>
            </w:r>
          </w:p>
        </w:tc>
      </w:tr>
    </w:tbl>
    <w:p w:rsidR="00181960" w:rsidRDefault="00181960" w:rsidP="00181960">
      <w:pPr>
        <w:jc w:val="center"/>
        <w:rPr>
          <w:lang w:val="sr-Latn-RS"/>
        </w:rPr>
      </w:pPr>
    </w:p>
    <w:p w:rsidR="00181960" w:rsidRDefault="00181960" w:rsidP="00181960">
      <w:pPr>
        <w:jc w:val="both"/>
        <w:rPr>
          <w:lang w:val="sr-Latn-RS"/>
        </w:rPr>
      </w:pPr>
    </w:p>
    <w:p w:rsidR="00181960" w:rsidRDefault="00181960" w:rsidP="00181960">
      <w:pPr>
        <w:jc w:val="both"/>
        <w:rPr>
          <w:lang w:val="sr-Latn-RS"/>
        </w:rPr>
      </w:pPr>
    </w:p>
    <w:p w:rsidR="00181960" w:rsidRDefault="00181960" w:rsidP="00181960">
      <w:pPr>
        <w:jc w:val="both"/>
        <w:rPr>
          <w:lang w:val="sr-Latn-RS"/>
        </w:rPr>
      </w:pPr>
    </w:p>
    <w:p w:rsidR="00181960" w:rsidRDefault="00181960" w:rsidP="00181960">
      <w:pPr>
        <w:jc w:val="both"/>
        <w:rPr>
          <w:lang w:val="sr-Latn-RS"/>
        </w:rPr>
      </w:pPr>
    </w:p>
    <w:p w:rsidR="00181960" w:rsidRDefault="00181960" w:rsidP="00181960">
      <w:pPr>
        <w:jc w:val="both"/>
        <w:rPr>
          <w:lang w:val="sr-Latn-RS"/>
        </w:rPr>
      </w:pPr>
    </w:p>
    <w:p w:rsidR="00181960" w:rsidRDefault="00181960" w:rsidP="00181960">
      <w:pPr>
        <w:jc w:val="both"/>
        <w:rPr>
          <w:lang w:val="sr-Latn-RS"/>
        </w:rPr>
      </w:pPr>
      <w:bookmarkStart w:id="0" w:name="_GoBack"/>
      <w:bookmarkEnd w:id="0"/>
    </w:p>
    <w:p w:rsidR="00181960" w:rsidRDefault="00181960" w:rsidP="00181960">
      <w:pPr>
        <w:jc w:val="both"/>
        <w:rPr>
          <w:lang w:val="sr-Latn-RS"/>
        </w:rPr>
      </w:pPr>
    </w:p>
    <w:p w:rsidR="00181960" w:rsidRDefault="00181960" w:rsidP="00181960">
      <w:pPr>
        <w:jc w:val="both"/>
        <w:rPr>
          <w:lang w:val="sr-Latn-RS"/>
        </w:rPr>
      </w:pPr>
    </w:p>
    <w:p w:rsidR="00181960" w:rsidRPr="00181960" w:rsidRDefault="00181960" w:rsidP="00181960">
      <w:pPr>
        <w:jc w:val="center"/>
        <w:rPr>
          <w:b/>
          <w:lang w:val="sr-Latn-RS"/>
        </w:rPr>
      </w:pPr>
      <w:r w:rsidRPr="00181960">
        <w:rPr>
          <w:b/>
          <w:sz w:val="28"/>
          <w:lang w:val="sr-Latn-RS"/>
        </w:rPr>
        <w:t>CONTRACTING AUTHORITY’S CLARIFICATIONS</w:t>
      </w:r>
      <w:r>
        <w:rPr>
          <w:b/>
          <w:sz w:val="28"/>
          <w:lang w:val="sr-Latn-RS"/>
        </w:rPr>
        <w:t xml:space="preserve"> No. 1</w:t>
      </w:r>
    </w:p>
    <w:p w:rsidR="00181960" w:rsidRPr="00181960" w:rsidRDefault="00181960" w:rsidP="00181960">
      <w:pPr>
        <w:jc w:val="center"/>
        <w:rPr>
          <w:sz w:val="28"/>
          <w:szCs w:val="28"/>
          <w:lang w:val="ro-RO"/>
        </w:rPr>
      </w:pPr>
    </w:p>
    <w:p w:rsidR="00181960" w:rsidRPr="00181960" w:rsidRDefault="00181960" w:rsidP="00181960">
      <w:pPr>
        <w:jc w:val="both"/>
        <w:rPr>
          <w:lang w:val="sr-Latn-RS"/>
        </w:rPr>
      </w:pPr>
      <w:r>
        <w:rPr>
          <w:lang w:val="sr-Latn-RS"/>
        </w:rPr>
        <w:t xml:space="preserve">Project title: </w:t>
      </w:r>
      <w:r w:rsidRPr="00181960">
        <w:rPr>
          <w:lang w:val="sr-Latn-RS"/>
        </w:rPr>
        <w:t>“Joint emergency interventions in Serbian and Bulgarian cross-border region”</w:t>
      </w:r>
    </w:p>
    <w:p w:rsidR="00181960" w:rsidRPr="00181960" w:rsidRDefault="00181960" w:rsidP="00181960">
      <w:pPr>
        <w:jc w:val="both"/>
        <w:rPr>
          <w:lang w:val="sr-Latn-RS"/>
        </w:rPr>
      </w:pPr>
    </w:p>
    <w:p w:rsidR="00181960" w:rsidRDefault="00181960" w:rsidP="00181960">
      <w:pPr>
        <w:jc w:val="both"/>
        <w:rPr>
          <w:lang w:val="sr-Latn-RS"/>
        </w:rPr>
      </w:pPr>
      <w:r w:rsidRPr="00181960">
        <w:rPr>
          <w:lang w:val="sr-Latn-RS"/>
        </w:rPr>
        <w:t>Title of contract:</w:t>
      </w:r>
      <w:r w:rsidRPr="00181960">
        <w:t xml:space="preserve"> </w:t>
      </w:r>
      <w:r w:rsidR="00EA208C">
        <w:t xml:space="preserve">RE-Launch </w:t>
      </w:r>
      <w:r w:rsidRPr="00181960">
        <w:rPr>
          <w:lang w:val="sr-Latn-RS"/>
        </w:rPr>
        <w:t xml:space="preserve">“Supply of equipment for specialised water rescue teams (terrain vehicles, boats and additional equipment, and personal equipment for rescue team members)” </w:t>
      </w:r>
      <w:r w:rsidR="00EA208C">
        <w:rPr>
          <w:lang w:val="sr-Latn-RS"/>
        </w:rPr>
        <w:t>(</w:t>
      </w:r>
      <w:r w:rsidRPr="00181960">
        <w:rPr>
          <w:lang w:val="sr-Latn-RS"/>
        </w:rPr>
        <w:t>LOT</w:t>
      </w:r>
      <w:r w:rsidR="00EA208C">
        <w:rPr>
          <w:lang w:val="sr-Latn-RS"/>
        </w:rPr>
        <w:t xml:space="preserve"> </w:t>
      </w:r>
      <w:r w:rsidRPr="00181960">
        <w:rPr>
          <w:lang w:val="sr-Latn-RS"/>
        </w:rPr>
        <w:t>3</w:t>
      </w:r>
      <w:r w:rsidR="00982B44">
        <w:rPr>
          <w:lang w:val="sr-Latn-RS"/>
        </w:rPr>
        <w:t xml:space="preserve"> - </w:t>
      </w:r>
      <w:r w:rsidR="00982B44" w:rsidRPr="00982B44">
        <w:rPr>
          <w:lang w:val="sr-Latn-RS"/>
        </w:rPr>
        <w:t>“Supply of a personal equipment for rescue team members”</w:t>
      </w:r>
      <w:r w:rsidR="00EA208C">
        <w:rPr>
          <w:lang w:val="sr-Latn-RS"/>
        </w:rPr>
        <w:t>)</w:t>
      </w:r>
    </w:p>
    <w:p w:rsidR="00181960" w:rsidRDefault="00181960" w:rsidP="00181960">
      <w:pPr>
        <w:jc w:val="both"/>
        <w:rPr>
          <w:lang w:val="sr-Latn-RS"/>
        </w:rPr>
      </w:pPr>
    </w:p>
    <w:p w:rsidR="00181960" w:rsidRPr="00181960" w:rsidRDefault="00181960" w:rsidP="00181960">
      <w:pPr>
        <w:jc w:val="both"/>
        <w:rPr>
          <w:lang w:val="sr-Latn-RS"/>
        </w:rPr>
      </w:pPr>
      <w:r w:rsidRPr="00181960">
        <w:rPr>
          <w:lang w:val="sr-Latn-RS"/>
        </w:rPr>
        <w:t>Publication reference: CB007.1.31.247 – TD06</w:t>
      </w:r>
    </w:p>
    <w:p w:rsidR="003B4552" w:rsidRPr="00181960" w:rsidRDefault="003B4552"/>
    <w:p w:rsidR="00181960" w:rsidRPr="00181960" w:rsidRDefault="00181960"/>
    <w:tbl>
      <w:tblPr>
        <w:tblW w:w="93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6"/>
        <w:gridCol w:w="4697"/>
      </w:tblGrid>
      <w:tr w:rsidR="00181960" w:rsidRPr="00181960" w:rsidTr="00F65A02">
        <w:tc>
          <w:tcPr>
            <w:tcW w:w="4696" w:type="dxa"/>
            <w:shd w:val="clear" w:color="auto" w:fill="4F81BD"/>
          </w:tcPr>
          <w:p w:rsidR="00181960" w:rsidRPr="00181960" w:rsidRDefault="00181960" w:rsidP="00EA208C">
            <w:pPr>
              <w:spacing w:before="60" w:after="60"/>
              <w:rPr>
                <w:rFonts w:eastAsia="Calibri"/>
                <w:b/>
                <w:bCs/>
                <w:color w:val="FFFFFF"/>
                <w:sz w:val="22"/>
                <w:szCs w:val="22"/>
              </w:rPr>
            </w:pPr>
            <w:r w:rsidRPr="00181960">
              <w:rPr>
                <w:rFonts w:eastAsia="Calibri"/>
                <w:b/>
                <w:bCs/>
                <w:color w:val="FFFFFF"/>
                <w:sz w:val="22"/>
                <w:szCs w:val="22"/>
              </w:rPr>
              <w:t>Question</w:t>
            </w:r>
          </w:p>
        </w:tc>
        <w:tc>
          <w:tcPr>
            <w:tcW w:w="4697" w:type="dxa"/>
            <w:shd w:val="clear" w:color="auto" w:fill="4F81BD"/>
          </w:tcPr>
          <w:p w:rsidR="00181960" w:rsidRPr="00181960" w:rsidRDefault="00181960" w:rsidP="00EA208C">
            <w:pPr>
              <w:spacing w:before="60" w:after="60"/>
              <w:rPr>
                <w:rFonts w:eastAsia="Calibri"/>
                <w:b/>
                <w:bCs/>
                <w:color w:val="FFFFFF"/>
                <w:sz w:val="22"/>
                <w:szCs w:val="22"/>
              </w:rPr>
            </w:pPr>
            <w:r w:rsidRPr="00181960">
              <w:rPr>
                <w:rFonts w:eastAsia="Calibri"/>
                <w:b/>
                <w:bCs/>
                <w:color w:val="FFFFFF"/>
                <w:sz w:val="22"/>
                <w:szCs w:val="22"/>
              </w:rPr>
              <w:t>Answer</w:t>
            </w:r>
          </w:p>
        </w:tc>
      </w:tr>
      <w:tr w:rsidR="00181960" w:rsidRPr="00181960" w:rsidTr="00F65A02">
        <w:tc>
          <w:tcPr>
            <w:tcW w:w="4696" w:type="dxa"/>
          </w:tcPr>
          <w:p w:rsidR="00181960" w:rsidRDefault="00181960" w:rsidP="00EA208C">
            <w:pPr>
              <w:spacing w:before="60" w:after="60"/>
              <w:rPr>
                <w:rFonts w:eastAsia="Calibri"/>
                <w:b/>
                <w:bCs/>
                <w:sz w:val="22"/>
                <w:szCs w:val="22"/>
              </w:rPr>
            </w:pPr>
            <w:r w:rsidRPr="00181960">
              <w:rPr>
                <w:rFonts w:eastAsia="Calibri"/>
                <w:b/>
                <w:bCs/>
                <w:sz w:val="22"/>
                <w:szCs w:val="22"/>
              </w:rPr>
              <w:t>Q1:</w:t>
            </w:r>
          </w:p>
          <w:p w:rsidR="00F65A02" w:rsidRPr="00F65A02" w:rsidRDefault="00F65A02" w:rsidP="00F65A02">
            <w:pPr>
              <w:spacing w:before="60" w:after="60"/>
              <w:jc w:val="both"/>
              <w:rPr>
                <w:rFonts w:eastAsia="Calibri"/>
                <w:bCs/>
                <w:sz w:val="22"/>
                <w:szCs w:val="22"/>
              </w:rPr>
            </w:pPr>
            <w:r>
              <w:rPr>
                <w:rFonts w:eastAsia="Calibri"/>
                <w:bCs/>
                <w:sz w:val="22"/>
                <w:szCs w:val="22"/>
              </w:rPr>
              <w:t>I</w:t>
            </w:r>
            <w:r w:rsidRPr="00F65A02">
              <w:rPr>
                <w:rFonts w:eastAsia="Calibri"/>
                <w:bCs/>
                <w:sz w:val="22"/>
                <w:szCs w:val="22"/>
              </w:rPr>
              <w:t>n technical specification of these equipments, there is not mentioned about size of diving suit. Could you clarify the size of equipments?</w:t>
            </w:r>
          </w:p>
        </w:tc>
        <w:tc>
          <w:tcPr>
            <w:tcW w:w="4697" w:type="dxa"/>
          </w:tcPr>
          <w:p w:rsidR="00EA208C" w:rsidRDefault="00181960" w:rsidP="00EA208C">
            <w:pPr>
              <w:spacing w:before="60" w:after="60"/>
              <w:rPr>
                <w:rFonts w:eastAsia="Calibri"/>
                <w:sz w:val="22"/>
                <w:szCs w:val="22"/>
              </w:rPr>
            </w:pPr>
            <w:r w:rsidRPr="00EA208C">
              <w:rPr>
                <w:rFonts w:eastAsia="Calibri"/>
                <w:b/>
                <w:sz w:val="22"/>
                <w:szCs w:val="22"/>
              </w:rPr>
              <w:t xml:space="preserve">A1: </w:t>
            </w:r>
          </w:p>
          <w:p w:rsidR="00F65A02" w:rsidRPr="00F65A02" w:rsidRDefault="00F65A02" w:rsidP="00F65A02">
            <w:pPr>
              <w:spacing w:before="60" w:after="60"/>
              <w:jc w:val="both"/>
              <w:rPr>
                <w:rFonts w:eastAsia="Calibri"/>
                <w:bCs/>
                <w:sz w:val="22"/>
                <w:szCs w:val="22"/>
              </w:rPr>
            </w:pPr>
            <w:r w:rsidRPr="00F65A02">
              <w:rPr>
                <w:rFonts w:eastAsia="Calibri"/>
                <w:bCs/>
                <w:sz w:val="22"/>
                <w:szCs w:val="22"/>
              </w:rPr>
              <w:t xml:space="preserve">We will deliver the size numbers to the selected </w:t>
            </w:r>
            <w:r>
              <w:rPr>
                <w:rFonts w:eastAsia="Calibri"/>
                <w:bCs/>
                <w:sz w:val="22"/>
                <w:szCs w:val="22"/>
              </w:rPr>
              <w:t>tenderer</w:t>
            </w:r>
            <w:r w:rsidRPr="00F65A02">
              <w:rPr>
                <w:rFonts w:eastAsia="Calibri"/>
                <w:bCs/>
                <w:sz w:val="22"/>
                <w:szCs w:val="22"/>
              </w:rPr>
              <w:t>.</w:t>
            </w:r>
          </w:p>
        </w:tc>
      </w:tr>
      <w:tr w:rsidR="00181960" w:rsidRPr="00181960" w:rsidTr="00F65A02">
        <w:tc>
          <w:tcPr>
            <w:tcW w:w="4696" w:type="dxa"/>
            <w:shd w:val="clear" w:color="auto" w:fill="auto"/>
          </w:tcPr>
          <w:p w:rsidR="00181960" w:rsidRDefault="00181960" w:rsidP="00EA208C">
            <w:pPr>
              <w:spacing w:before="60" w:after="60"/>
              <w:rPr>
                <w:rFonts w:eastAsia="Calibri"/>
                <w:b/>
                <w:sz w:val="22"/>
                <w:szCs w:val="22"/>
              </w:rPr>
            </w:pPr>
            <w:r w:rsidRPr="00181960">
              <w:rPr>
                <w:rFonts w:eastAsia="Calibri"/>
                <w:b/>
                <w:sz w:val="22"/>
                <w:szCs w:val="22"/>
              </w:rPr>
              <w:t>Q2:</w:t>
            </w:r>
          </w:p>
          <w:p w:rsidR="00F65A02" w:rsidRPr="00F65A02" w:rsidRDefault="00F65A02" w:rsidP="00F65A02">
            <w:pPr>
              <w:spacing w:before="60" w:after="60"/>
              <w:jc w:val="both"/>
              <w:rPr>
                <w:sz w:val="22"/>
                <w:szCs w:val="22"/>
                <w:lang w:val="en-GB"/>
              </w:rPr>
            </w:pPr>
            <w:r w:rsidRPr="00F65A02">
              <w:rPr>
                <w:sz w:val="22"/>
                <w:szCs w:val="22"/>
                <w:lang w:val="en-GB"/>
              </w:rPr>
              <w:t>“Req 17 - Inner part of the suit is made of plush or equivalent fabric. Suit is protecting rescuers skin from direct water splash with possibility that during the swim suits contain very thin layer of water which very quickly reaches body temperature.”</w:t>
            </w:r>
          </w:p>
          <w:p w:rsidR="00F65A02" w:rsidRPr="00F65A02" w:rsidRDefault="00F65A02" w:rsidP="00F65A02">
            <w:pPr>
              <w:spacing w:before="60" w:after="60"/>
              <w:jc w:val="both"/>
              <w:rPr>
                <w:rFonts w:eastAsia="Calibri"/>
                <w:bCs/>
                <w:sz w:val="22"/>
                <w:szCs w:val="22"/>
              </w:rPr>
            </w:pPr>
          </w:p>
          <w:p w:rsidR="00F65A02" w:rsidRPr="00F65A02" w:rsidRDefault="00F65A02" w:rsidP="00F65A02">
            <w:pPr>
              <w:spacing w:before="60" w:after="60"/>
              <w:jc w:val="both"/>
              <w:rPr>
                <w:rFonts w:eastAsia="Calibri"/>
                <w:bCs/>
                <w:sz w:val="22"/>
                <w:szCs w:val="22"/>
              </w:rPr>
            </w:pPr>
            <w:r w:rsidRPr="00F65A02">
              <w:rPr>
                <w:rFonts w:eastAsia="Calibri"/>
                <w:bCs/>
                <w:sz w:val="22"/>
                <w:szCs w:val="22"/>
              </w:rPr>
              <w:t>Inner part of the suit is made of jersey. Please confirm that inner part of the suit also can be made of jersey.</w:t>
            </w:r>
          </w:p>
        </w:tc>
        <w:tc>
          <w:tcPr>
            <w:tcW w:w="4697" w:type="dxa"/>
          </w:tcPr>
          <w:p w:rsidR="00181960" w:rsidRDefault="00181960" w:rsidP="00EA208C">
            <w:pPr>
              <w:spacing w:before="60" w:after="60"/>
              <w:rPr>
                <w:rFonts w:eastAsia="Calibri"/>
                <w:sz w:val="22"/>
                <w:szCs w:val="22"/>
              </w:rPr>
            </w:pPr>
            <w:r w:rsidRPr="00EA208C">
              <w:rPr>
                <w:rFonts w:eastAsia="Calibri"/>
                <w:b/>
                <w:sz w:val="22"/>
                <w:szCs w:val="22"/>
              </w:rPr>
              <w:t>A2:</w:t>
            </w:r>
          </w:p>
          <w:p w:rsidR="00F65A02" w:rsidRPr="00F65A02" w:rsidRDefault="00F65A02" w:rsidP="00F65A02">
            <w:pPr>
              <w:spacing w:before="60" w:after="60"/>
              <w:jc w:val="both"/>
              <w:rPr>
                <w:rFonts w:eastAsia="Calibri"/>
                <w:sz w:val="21"/>
                <w:szCs w:val="22"/>
              </w:rPr>
            </w:pPr>
            <w:r w:rsidRPr="00F65A02">
              <w:rPr>
                <w:sz w:val="22"/>
                <w:lang w:val="sr-Latn-CS"/>
              </w:rPr>
              <w:t>We confirm that we will accept inner part of the suit made of jersey.</w:t>
            </w:r>
          </w:p>
          <w:p w:rsidR="00F65A02" w:rsidRPr="00F65A02" w:rsidRDefault="00F65A02" w:rsidP="00EA208C">
            <w:pPr>
              <w:spacing w:before="60" w:after="60"/>
              <w:rPr>
                <w:rFonts w:eastAsia="Calibri"/>
                <w:sz w:val="22"/>
                <w:szCs w:val="22"/>
              </w:rPr>
            </w:pPr>
          </w:p>
        </w:tc>
      </w:tr>
      <w:tr w:rsidR="00F65A02" w:rsidRPr="00181960" w:rsidTr="00F65A02">
        <w:tc>
          <w:tcPr>
            <w:tcW w:w="4696" w:type="dxa"/>
            <w:shd w:val="clear" w:color="auto" w:fill="auto"/>
          </w:tcPr>
          <w:p w:rsidR="00F65A02" w:rsidRDefault="00F65A02" w:rsidP="00F65A02">
            <w:pPr>
              <w:spacing w:before="60" w:after="60"/>
              <w:rPr>
                <w:rFonts w:eastAsia="Calibri"/>
                <w:b/>
                <w:sz w:val="22"/>
                <w:szCs w:val="22"/>
              </w:rPr>
            </w:pPr>
            <w:r w:rsidRPr="00181960">
              <w:rPr>
                <w:rFonts w:eastAsia="Calibri"/>
                <w:b/>
                <w:sz w:val="22"/>
                <w:szCs w:val="22"/>
              </w:rPr>
              <w:t>Q</w:t>
            </w:r>
            <w:r>
              <w:rPr>
                <w:rFonts w:eastAsia="Calibri"/>
                <w:b/>
                <w:sz w:val="22"/>
                <w:szCs w:val="22"/>
              </w:rPr>
              <w:t>3</w:t>
            </w:r>
            <w:r w:rsidRPr="00181960">
              <w:rPr>
                <w:rFonts w:eastAsia="Calibri"/>
                <w:b/>
                <w:sz w:val="22"/>
                <w:szCs w:val="22"/>
              </w:rPr>
              <w:t>:</w:t>
            </w:r>
          </w:p>
          <w:p w:rsidR="00F65A02" w:rsidRDefault="00F65A02" w:rsidP="00F65A02">
            <w:pPr>
              <w:spacing w:before="60" w:after="60"/>
              <w:jc w:val="both"/>
              <w:rPr>
                <w:rFonts w:eastAsia="Calibri"/>
                <w:sz w:val="22"/>
                <w:szCs w:val="22"/>
              </w:rPr>
            </w:pPr>
            <w:r>
              <w:rPr>
                <w:rFonts w:eastAsia="Calibri"/>
                <w:sz w:val="22"/>
                <w:szCs w:val="22"/>
              </w:rPr>
              <w:t>“</w:t>
            </w:r>
            <w:r w:rsidRPr="00F65A02">
              <w:rPr>
                <w:rFonts w:eastAsia="Calibri"/>
                <w:sz w:val="22"/>
                <w:szCs w:val="22"/>
              </w:rPr>
              <w:t>Req 18 - Suit is consisting of upper part (jacket) with long sleeves, integrated hood and zipper and lower part (long johns) with suspenders</w:t>
            </w:r>
            <w:r>
              <w:rPr>
                <w:rFonts w:eastAsia="Calibri"/>
                <w:sz w:val="22"/>
                <w:szCs w:val="22"/>
              </w:rPr>
              <w:t>”</w:t>
            </w:r>
          </w:p>
          <w:p w:rsidR="00F65A02" w:rsidRDefault="00F65A02" w:rsidP="00F65A02">
            <w:pPr>
              <w:spacing w:before="60" w:after="60"/>
              <w:jc w:val="both"/>
              <w:rPr>
                <w:rFonts w:eastAsia="Calibri"/>
                <w:sz w:val="22"/>
                <w:szCs w:val="22"/>
              </w:rPr>
            </w:pPr>
          </w:p>
          <w:p w:rsidR="00F65A02" w:rsidRPr="00F65A02" w:rsidRDefault="00F65A02" w:rsidP="00F65A02">
            <w:pPr>
              <w:spacing w:before="60" w:after="60"/>
              <w:jc w:val="both"/>
              <w:rPr>
                <w:rFonts w:eastAsia="Calibri"/>
                <w:sz w:val="22"/>
                <w:szCs w:val="22"/>
              </w:rPr>
            </w:pPr>
            <w:r w:rsidRPr="00F65A02">
              <w:rPr>
                <w:rFonts w:eastAsia="Calibri"/>
                <w:sz w:val="22"/>
                <w:szCs w:val="22"/>
              </w:rPr>
              <w:t>Suit is consisting of upper part (jacket) with short sleeves, integrated hood and zipper and lower part (full suit) without suspenders. Please confirm that upper part (jacket) with short sleeves, integrated hood and zipper and lower part (full suit) without suspenders can also be accepted because this type is new fashion.</w:t>
            </w:r>
          </w:p>
        </w:tc>
        <w:tc>
          <w:tcPr>
            <w:tcW w:w="4697" w:type="dxa"/>
          </w:tcPr>
          <w:p w:rsidR="00F65A02" w:rsidRDefault="00F65A02" w:rsidP="00F65A02">
            <w:pPr>
              <w:spacing w:before="60" w:after="60"/>
              <w:rPr>
                <w:rFonts w:eastAsia="Calibri"/>
                <w:sz w:val="22"/>
                <w:szCs w:val="22"/>
              </w:rPr>
            </w:pPr>
            <w:r w:rsidRPr="00EA208C">
              <w:rPr>
                <w:rFonts w:eastAsia="Calibri"/>
                <w:b/>
                <w:sz w:val="22"/>
                <w:szCs w:val="22"/>
              </w:rPr>
              <w:t>A</w:t>
            </w:r>
            <w:r>
              <w:rPr>
                <w:rFonts w:eastAsia="Calibri"/>
                <w:b/>
                <w:sz w:val="22"/>
                <w:szCs w:val="22"/>
              </w:rPr>
              <w:t>3</w:t>
            </w:r>
            <w:r w:rsidRPr="00EA208C">
              <w:rPr>
                <w:rFonts w:eastAsia="Calibri"/>
                <w:b/>
                <w:sz w:val="22"/>
                <w:szCs w:val="22"/>
              </w:rPr>
              <w:t>:</w:t>
            </w:r>
          </w:p>
          <w:p w:rsidR="00634804" w:rsidRPr="00634804" w:rsidRDefault="00634804" w:rsidP="00634804">
            <w:pPr>
              <w:spacing w:before="60" w:after="60"/>
              <w:jc w:val="both"/>
              <w:rPr>
                <w:rFonts w:eastAsia="Calibri"/>
                <w:sz w:val="22"/>
                <w:szCs w:val="22"/>
              </w:rPr>
            </w:pPr>
            <w:r w:rsidRPr="00634804">
              <w:rPr>
                <w:rFonts w:eastAsia="Calibri"/>
                <w:sz w:val="22"/>
                <w:szCs w:val="22"/>
              </w:rPr>
              <w:t xml:space="preserve">We will not accept any changes about characteristic of Two-piece thermal-insulating diving suit. It is not acceptable for the upper part of the suit (jacket) to be with the short sleeves. </w:t>
            </w:r>
          </w:p>
          <w:p w:rsidR="00F65A02" w:rsidRDefault="00634804" w:rsidP="00634804">
            <w:pPr>
              <w:spacing w:before="60" w:after="60"/>
              <w:jc w:val="both"/>
              <w:rPr>
                <w:rFonts w:eastAsia="Calibri"/>
                <w:sz w:val="22"/>
                <w:szCs w:val="22"/>
              </w:rPr>
            </w:pPr>
            <w:r w:rsidRPr="00634804">
              <w:rPr>
                <w:rFonts w:eastAsia="Calibri"/>
                <w:sz w:val="22"/>
                <w:szCs w:val="22"/>
              </w:rPr>
              <w:t>This is the link where you can see the example of model of the suit that we are interested in (model like this or equivalent).</w:t>
            </w:r>
          </w:p>
          <w:p w:rsidR="00634804" w:rsidRPr="00634804" w:rsidRDefault="00C050AF" w:rsidP="00634804">
            <w:pPr>
              <w:spacing w:before="60" w:after="60"/>
              <w:jc w:val="both"/>
              <w:rPr>
                <w:rFonts w:eastAsia="Calibri"/>
                <w:sz w:val="22"/>
                <w:szCs w:val="22"/>
              </w:rPr>
            </w:pPr>
            <w:hyperlink r:id="rId8" w:history="1">
              <w:r w:rsidR="00634804" w:rsidRPr="00634804">
                <w:rPr>
                  <w:rStyle w:val="Hyperlink"/>
                </w:rPr>
                <w:t>https://www.mares.com/shop/en-IC/diving/diving-wear/wetsuits-men-s-neoprene/dual-19.html</w:t>
              </w:r>
            </w:hyperlink>
          </w:p>
        </w:tc>
      </w:tr>
    </w:tbl>
    <w:p w:rsidR="00181960" w:rsidRPr="00181960" w:rsidRDefault="00181960"/>
    <w:sectPr w:rsidR="00181960" w:rsidRPr="00181960" w:rsidSect="00F65A02">
      <w:footerReference w:type="even" r:id="rId9"/>
      <w:footerReference w:type="default" r:id="rId10"/>
      <w:pgSz w:w="11900" w:h="16840"/>
      <w:pgMar w:top="1146" w:right="1440" w:bottom="97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0AF" w:rsidRDefault="00C050AF" w:rsidP="00634804">
      <w:r>
        <w:separator/>
      </w:r>
    </w:p>
  </w:endnote>
  <w:endnote w:type="continuationSeparator" w:id="0">
    <w:p w:rsidR="00C050AF" w:rsidRDefault="00C050AF" w:rsidP="0063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4315399"/>
      <w:docPartObj>
        <w:docPartGallery w:val="Page Numbers (Bottom of Page)"/>
        <w:docPartUnique/>
      </w:docPartObj>
    </w:sdtPr>
    <w:sdtEndPr>
      <w:rPr>
        <w:rStyle w:val="PageNumber"/>
      </w:rPr>
    </w:sdtEndPr>
    <w:sdtContent>
      <w:p w:rsidR="00634804" w:rsidRDefault="00634804" w:rsidP="00D716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34804" w:rsidRDefault="00634804" w:rsidP="006348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4843078"/>
      <w:docPartObj>
        <w:docPartGallery w:val="Page Numbers (Bottom of Page)"/>
        <w:docPartUnique/>
      </w:docPartObj>
    </w:sdtPr>
    <w:sdtEndPr>
      <w:rPr>
        <w:rStyle w:val="PageNumber"/>
      </w:rPr>
    </w:sdtEndPr>
    <w:sdtContent>
      <w:p w:rsidR="00634804" w:rsidRDefault="00634804" w:rsidP="00D716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34804" w:rsidRDefault="00634804" w:rsidP="006348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0AF" w:rsidRDefault="00C050AF" w:rsidP="00634804">
      <w:r>
        <w:separator/>
      </w:r>
    </w:p>
  </w:footnote>
  <w:footnote w:type="continuationSeparator" w:id="0">
    <w:p w:rsidR="00C050AF" w:rsidRDefault="00C050AF" w:rsidP="00634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91B98"/>
    <w:multiLevelType w:val="hybridMultilevel"/>
    <w:tmpl w:val="8454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60"/>
    <w:rsid w:val="00181960"/>
    <w:rsid w:val="003B4552"/>
    <w:rsid w:val="00634804"/>
    <w:rsid w:val="00982B44"/>
    <w:rsid w:val="00B36FD2"/>
    <w:rsid w:val="00C050AF"/>
    <w:rsid w:val="00C16CFF"/>
    <w:rsid w:val="00DD285A"/>
    <w:rsid w:val="00EA208C"/>
    <w:rsid w:val="00F6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C5709-FCEE-F645-B289-3E921A27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96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804"/>
    <w:rPr>
      <w:color w:val="0563C1" w:themeColor="hyperlink"/>
      <w:u w:val="single"/>
    </w:rPr>
  </w:style>
  <w:style w:type="paragraph" w:styleId="Footer">
    <w:name w:val="footer"/>
    <w:basedOn w:val="Normal"/>
    <w:link w:val="FooterChar"/>
    <w:uiPriority w:val="99"/>
    <w:unhideWhenUsed/>
    <w:rsid w:val="00634804"/>
    <w:pPr>
      <w:tabs>
        <w:tab w:val="center" w:pos="4680"/>
        <w:tab w:val="right" w:pos="9360"/>
      </w:tabs>
    </w:pPr>
  </w:style>
  <w:style w:type="character" w:customStyle="1" w:styleId="FooterChar">
    <w:name w:val="Footer Char"/>
    <w:basedOn w:val="DefaultParagraphFont"/>
    <w:link w:val="Footer"/>
    <w:uiPriority w:val="99"/>
    <w:rsid w:val="00634804"/>
    <w:rPr>
      <w:rFonts w:ascii="Times New Roman" w:eastAsia="Times New Roman" w:hAnsi="Times New Roman" w:cs="Times New Roman"/>
    </w:rPr>
  </w:style>
  <w:style w:type="character" w:styleId="PageNumber">
    <w:name w:val="page number"/>
    <w:basedOn w:val="DefaultParagraphFont"/>
    <w:uiPriority w:val="99"/>
    <w:semiHidden/>
    <w:unhideWhenUsed/>
    <w:rsid w:val="00634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es.com/shop/en-IC/diving/diving-wear/wetsuits-men-s-neoprene/dual-19.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2018-04-16T04:39:00Z</dcterms:created>
  <dcterms:modified xsi:type="dcterms:W3CDTF">2018-04-16T05:04:00Z</dcterms:modified>
</cp:coreProperties>
</file>