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3DB5" w14:textId="77777777" w:rsidR="00EC6ED8" w:rsidRPr="00481BC9" w:rsidRDefault="00EC6ED8" w:rsidP="00EC6ED8">
      <w:pPr>
        <w:widowControl/>
        <w:spacing w:beforeAutospacing="1" w:afterAutospacing="1"/>
        <w:jc w:val="center"/>
        <w:rPr>
          <w:b/>
          <w:sz w:val="28"/>
          <w:szCs w:val="28"/>
          <w:lang w:val="en-GB"/>
        </w:rPr>
      </w:pPr>
      <w:r w:rsidRPr="00481BC9">
        <w:rPr>
          <w:b/>
          <w:sz w:val="28"/>
          <w:szCs w:val="28"/>
          <w:lang w:val="en-GB"/>
        </w:rPr>
        <w:t>CANCELLATION</w:t>
      </w:r>
      <w:r w:rsidR="00F34282" w:rsidRPr="00481BC9">
        <w:rPr>
          <w:b/>
          <w:sz w:val="28"/>
          <w:szCs w:val="28"/>
          <w:lang w:val="en-GB"/>
        </w:rPr>
        <w:t xml:space="preserve"> OF A TENDER PROCEDURE</w:t>
      </w:r>
    </w:p>
    <w:p w14:paraId="064C74BB" w14:textId="77777777" w:rsidR="00A66BAC" w:rsidRDefault="00A66BAC" w:rsidP="008E08CB">
      <w:pPr>
        <w:keepNext/>
        <w:widowControl/>
        <w:outlineLvl w:val="0"/>
        <w:rPr>
          <w:b/>
          <w:sz w:val="22"/>
          <w:szCs w:val="22"/>
          <w:u w:val="single"/>
          <w:lang w:val="en-GB"/>
        </w:rPr>
      </w:pPr>
    </w:p>
    <w:p w14:paraId="34520694" w14:textId="4F979C1A" w:rsidR="008E08CB" w:rsidRPr="00481BC9" w:rsidRDefault="00EC6ED8" w:rsidP="008E08CB">
      <w:pPr>
        <w:keepNext/>
        <w:widowControl/>
        <w:outlineLvl w:val="0"/>
        <w:rPr>
          <w:rStyle w:val="Strong"/>
          <w:b w:val="0"/>
          <w:sz w:val="22"/>
          <w:szCs w:val="22"/>
          <w:lang w:val="en-GB"/>
        </w:rPr>
      </w:pPr>
      <w:r w:rsidRPr="00481BC9">
        <w:rPr>
          <w:b/>
          <w:sz w:val="22"/>
          <w:szCs w:val="22"/>
          <w:u w:val="single"/>
          <w:lang w:val="en-GB"/>
        </w:rPr>
        <w:t>II.1.1) Contract Notice Title</w:t>
      </w:r>
      <w:r w:rsidRPr="00481BC9">
        <w:rPr>
          <w:b/>
          <w:sz w:val="22"/>
          <w:szCs w:val="22"/>
          <w:lang w:val="en-GB"/>
        </w:rPr>
        <w:t xml:space="preserve">: </w:t>
      </w:r>
      <w:r w:rsidR="008E08CB" w:rsidRPr="00733133">
        <w:rPr>
          <w:bCs/>
          <w:sz w:val="22"/>
          <w:szCs w:val="22"/>
          <w:lang w:val="en-GB"/>
        </w:rPr>
        <w:t xml:space="preserve">Supply of technical equipment - Supply of technical equipment for protection and </w:t>
      </w:r>
      <w:proofErr w:type="spellStart"/>
      <w:r w:rsidR="008E08CB" w:rsidRPr="00733133">
        <w:rPr>
          <w:bCs/>
          <w:sz w:val="22"/>
          <w:szCs w:val="22"/>
          <w:lang w:val="en-GB"/>
        </w:rPr>
        <w:t>maintanance</w:t>
      </w:r>
      <w:proofErr w:type="spellEnd"/>
      <w:r w:rsidR="008E08CB" w:rsidRPr="00733133">
        <w:rPr>
          <w:bCs/>
          <w:sz w:val="22"/>
          <w:szCs w:val="22"/>
          <w:lang w:val="en-GB"/>
        </w:rPr>
        <w:t xml:space="preserve"> of habitats and species off road vehicle equipped with modules for fires, </w:t>
      </w:r>
      <w:proofErr w:type="gramStart"/>
      <w:r w:rsidR="008E08CB" w:rsidRPr="00733133">
        <w:rPr>
          <w:bCs/>
          <w:sz w:val="22"/>
          <w:szCs w:val="22"/>
          <w:lang w:val="en-GB"/>
        </w:rPr>
        <w:t>floods</w:t>
      </w:r>
      <w:proofErr w:type="gramEnd"/>
      <w:r w:rsidR="008E08CB" w:rsidRPr="00733133">
        <w:rPr>
          <w:bCs/>
          <w:sz w:val="22"/>
          <w:szCs w:val="22"/>
          <w:lang w:val="en-GB"/>
        </w:rPr>
        <w:t xml:space="preserve"> and snowstorms</w:t>
      </w:r>
      <w:r w:rsidRPr="00733133">
        <w:rPr>
          <w:bCs/>
          <w:sz w:val="22"/>
          <w:szCs w:val="22"/>
          <w:u w:val="single"/>
          <w:lang w:val="en-GB"/>
        </w:rPr>
        <w:br/>
      </w:r>
      <w:r w:rsidRPr="00733133">
        <w:rPr>
          <w:b/>
          <w:sz w:val="22"/>
          <w:szCs w:val="22"/>
          <w:u w:val="single"/>
          <w:lang w:val="en-GB"/>
        </w:rPr>
        <w:t>II.1.1) Contract Notice Reference Number:</w:t>
      </w:r>
      <w:r w:rsidRPr="00733133">
        <w:rPr>
          <w:sz w:val="22"/>
          <w:szCs w:val="22"/>
          <w:u w:val="single"/>
          <w:lang w:val="en-GB"/>
        </w:rPr>
        <w:t xml:space="preserve"> </w:t>
      </w:r>
      <w:r w:rsidR="008E08CB" w:rsidRPr="00733133">
        <w:rPr>
          <w:bCs/>
          <w:sz w:val="22"/>
          <w:szCs w:val="22"/>
          <w:lang w:val="en-GB"/>
        </w:rPr>
        <w:t>CB007.2.32 .165-SUPPLY (B3)</w:t>
      </w:r>
      <w:r w:rsidR="00BE7B32" w:rsidRPr="00481BC9">
        <w:rPr>
          <w:b/>
          <w:sz w:val="22"/>
          <w:szCs w:val="22"/>
          <w:lang w:val="en-GB"/>
        </w:rPr>
        <w:br/>
      </w:r>
    </w:p>
    <w:p w14:paraId="470149E0" w14:textId="093C77F8" w:rsidR="00EC6ED8" w:rsidRPr="00481BC9" w:rsidRDefault="00581ACC" w:rsidP="00EC6ED8">
      <w:pPr>
        <w:keepNext/>
        <w:widowControl/>
        <w:outlineLvl w:val="0"/>
        <w:rPr>
          <w:rStyle w:val="Strong"/>
          <w:b w:val="0"/>
          <w:sz w:val="22"/>
          <w:szCs w:val="22"/>
          <w:lang w:val="en-GB"/>
        </w:rPr>
      </w:pPr>
      <w:r w:rsidRPr="00481BC9">
        <w:rPr>
          <w:rStyle w:val="Strong"/>
          <w:sz w:val="22"/>
          <w:szCs w:val="22"/>
          <w:u w:val="single"/>
          <w:lang w:val="en-GB"/>
        </w:rPr>
        <w:t>Section V: Award of contract</w:t>
      </w:r>
    </w:p>
    <w:p w14:paraId="0B16E47F" w14:textId="5E3D0482" w:rsidR="00EC6ED8" w:rsidRPr="00481BC9" w:rsidRDefault="00581ACC" w:rsidP="00EC6ED8">
      <w:pPr>
        <w:keepNext/>
        <w:widowControl/>
        <w:outlineLvl w:val="0"/>
        <w:rPr>
          <w:rStyle w:val="Strong"/>
          <w:b w:val="0"/>
          <w:sz w:val="22"/>
          <w:szCs w:val="22"/>
          <w:lang w:val="en-GB"/>
        </w:rPr>
      </w:pPr>
      <w:r w:rsidRPr="00481BC9">
        <w:rPr>
          <w:rStyle w:val="Strong"/>
          <w:b w:val="0"/>
          <w:sz w:val="22"/>
          <w:szCs w:val="22"/>
          <w:lang w:val="en-GB"/>
        </w:rPr>
        <w:t xml:space="preserve">A contract/lot is awarded: no. </w:t>
      </w:r>
      <w:r w:rsidRPr="00481BC9">
        <w:rPr>
          <w:rStyle w:val="Strong"/>
          <w:b w:val="0"/>
          <w:sz w:val="22"/>
          <w:szCs w:val="22"/>
          <w:lang w:val="en-GB"/>
        </w:rPr>
        <w:br/>
      </w:r>
      <w:r w:rsidRPr="00481BC9">
        <w:rPr>
          <w:rStyle w:val="Strong"/>
          <w:b w:val="0"/>
          <w:sz w:val="22"/>
          <w:szCs w:val="22"/>
          <w:lang w:val="en-GB"/>
        </w:rPr>
        <w:br/>
      </w:r>
      <w:r w:rsidR="00EC6ED8" w:rsidRPr="00481BC9">
        <w:rPr>
          <w:rStyle w:val="Strong"/>
          <w:sz w:val="22"/>
          <w:szCs w:val="22"/>
          <w:u w:val="single"/>
          <w:lang w:val="en-GB"/>
        </w:rPr>
        <w:t>V.1) Information on non-award</w:t>
      </w:r>
    </w:p>
    <w:p w14:paraId="0848A01A" w14:textId="33F1AF92" w:rsidR="00EC6ED8" w:rsidRPr="00481BC9" w:rsidRDefault="00EC6ED8" w:rsidP="00EC6ED8">
      <w:pPr>
        <w:keepNext/>
        <w:widowControl/>
        <w:outlineLvl w:val="0"/>
        <w:rPr>
          <w:rStyle w:val="Strong"/>
          <w:b w:val="0"/>
          <w:sz w:val="22"/>
          <w:szCs w:val="22"/>
          <w:lang w:val="en-GB"/>
        </w:rPr>
      </w:pPr>
      <w:r w:rsidRPr="00481BC9">
        <w:rPr>
          <w:rStyle w:val="Strong"/>
          <w:b w:val="0"/>
          <w:sz w:val="22"/>
          <w:szCs w:val="22"/>
          <w:lang w:val="en-GB"/>
        </w:rPr>
        <w:t>The contract/lot is not awarded</w:t>
      </w:r>
      <w:r w:rsidR="00BE0C5D">
        <w:rPr>
          <w:rStyle w:val="Strong"/>
          <w:b w:val="0"/>
          <w:sz w:val="22"/>
          <w:szCs w:val="22"/>
          <w:lang w:val="en-GB"/>
        </w:rPr>
        <w:t>. Only a notification letter and letters to unsuccessful tenderers has been sent.</w:t>
      </w:r>
    </w:p>
    <w:p w14:paraId="647A3816" w14:textId="0B77B737" w:rsidR="00EC6ED8" w:rsidRPr="00481BC9" w:rsidRDefault="00EC6ED8" w:rsidP="00EC6ED8">
      <w:pPr>
        <w:keepNext/>
        <w:widowControl/>
        <w:outlineLvl w:val="0"/>
        <w:rPr>
          <w:rStyle w:val="Strong"/>
          <w:b w:val="0"/>
          <w:sz w:val="22"/>
          <w:szCs w:val="22"/>
          <w:lang w:val="en-GB"/>
        </w:rPr>
      </w:pPr>
      <w:r w:rsidRPr="00733133">
        <w:rPr>
          <w:rStyle w:val="Strong"/>
          <w:b w:val="0"/>
          <w:sz w:val="22"/>
          <w:szCs w:val="22"/>
          <w:lang w:val="en-GB"/>
        </w:rPr>
        <w:t xml:space="preserve">Other reasons (discontinuation of procedure) Notice reference: </w:t>
      </w:r>
      <w:r w:rsidR="00733133" w:rsidRPr="00733133">
        <w:rPr>
          <w:bCs/>
          <w:sz w:val="22"/>
          <w:szCs w:val="22"/>
          <w:lang w:val="en-GB"/>
        </w:rPr>
        <w:t>CB007.2.32 .165-SUPPLY (B3)</w:t>
      </w:r>
    </w:p>
    <w:p w14:paraId="3D42BC70" w14:textId="23634909" w:rsidR="00FF0E69" w:rsidRDefault="00FF0E69" w:rsidP="008979F5">
      <w:pPr>
        <w:jc w:val="both"/>
        <w:rPr>
          <w:sz w:val="22"/>
          <w:szCs w:val="22"/>
          <w:lang w:val="en-GB"/>
        </w:rPr>
      </w:pPr>
      <w:r w:rsidRPr="009E74DB">
        <w:rPr>
          <w:rStyle w:val="Strong"/>
          <w:sz w:val="22"/>
          <w:szCs w:val="22"/>
          <w:lang w:val="en-GB"/>
        </w:rPr>
        <w:t xml:space="preserve">1. </w:t>
      </w:r>
      <w:r w:rsidR="008E08CB" w:rsidRPr="00FF0E69">
        <w:rPr>
          <w:rStyle w:val="Strong"/>
          <w:b w:val="0"/>
          <w:bCs/>
          <w:sz w:val="22"/>
          <w:szCs w:val="22"/>
          <w:lang w:val="en-GB"/>
        </w:rPr>
        <w:t>The procurement is cancelled because t</w:t>
      </w:r>
      <w:r w:rsidR="008E08CB" w:rsidRPr="00FF0E69">
        <w:rPr>
          <w:rStyle w:val="Strong"/>
          <w:b w:val="0"/>
          <w:bCs/>
          <w:sz w:val="22"/>
          <w:szCs w:val="22"/>
          <w:lang w:val="en-GB"/>
        </w:rPr>
        <w:t xml:space="preserve">here have been </w:t>
      </w:r>
      <w:r w:rsidR="00733133" w:rsidRPr="00FF0E69">
        <w:rPr>
          <w:rStyle w:val="Strong"/>
          <w:b w:val="0"/>
          <w:bCs/>
          <w:sz w:val="22"/>
          <w:szCs w:val="22"/>
          <w:lang w:val="en-GB"/>
        </w:rPr>
        <w:t>“</w:t>
      </w:r>
      <w:r w:rsidR="008E08CB" w:rsidRPr="00FF0E69">
        <w:rPr>
          <w:rStyle w:val="Strong"/>
          <w:b w:val="0"/>
          <w:bCs/>
          <w:sz w:val="22"/>
          <w:szCs w:val="22"/>
          <w:lang w:val="en-GB"/>
        </w:rPr>
        <w:t>breach of obligations, irregularities or frauds in the procedure, in particular where these have prevented fair competition</w:t>
      </w:r>
      <w:r w:rsidR="00733133" w:rsidRPr="00FF0E69">
        <w:rPr>
          <w:rStyle w:val="Strong"/>
          <w:b w:val="0"/>
          <w:bCs/>
          <w:sz w:val="22"/>
          <w:szCs w:val="22"/>
          <w:lang w:val="en-GB"/>
        </w:rPr>
        <w:t>”</w:t>
      </w:r>
      <w:r w:rsidR="008E08CB" w:rsidRPr="00FF0E69">
        <w:rPr>
          <w:rStyle w:val="Strong"/>
          <w:b w:val="0"/>
          <w:bCs/>
          <w:sz w:val="22"/>
          <w:szCs w:val="22"/>
          <w:lang w:val="en-GB"/>
        </w:rPr>
        <w:t xml:space="preserve">, </w:t>
      </w:r>
      <w:r w:rsidR="002C226A" w:rsidRPr="00FF0E69">
        <w:rPr>
          <w:rStyle w:val="Strong"/>
          <w:b w:val="0"/>
          <w:bCs/>
          <w:sz w:val="22"/>
          <w:szCs w:val="22"/>
          <w:lang w:val="en-GB"/>
        </w:rPr>
        <w:t>as per</w:t>
      </w:r>
      <w:r w:rsidR="008E08CB" w:rsidRPr="00FF0E69">
        <w:rPr>
          <w:rStyle w:val="Strong"/>
          <w:b w:val="0"/>
          <w:bCs/>
          <w:sz w:val="22"/>
          <w:szCs w:val="22"/>
          <w:lang w:val="en-GB"/>
        </w:rPr>
        <w:t xml:space="preserve"> PRAG’s point 2.6.13. </w:t>
      </w:r>
      <w:r w:rsidR="008E08CB" w:rsidRPr="00FF0E69">
        <w:rPr>
          <w:rStyle w:val="Strong"/>
          <w:b w:val="0"/>
          <w:bCs/>
          <w:i/>
          <w:iCs/>
          <w:sz w:val="22"/>
          <w:szCs w:val="22"/>
          <w:lang w:val="en-GB"/>
        </w:rPr>
        <w:t>Cancellation of procurement procedures</w:t>
      </w:r>
      <w:r w:rsidR="008E08CB" w:rsidRPr="00FF0E69">
        <w:rPr>
          <w:rStyle w:val="Strong"/>
          <w:b w:val="0"/>
          <w:bCs/>
          <w:sz w:val="22"/>
          <w:szCs w:val="22"/>
          <w:lang w:val="en-GB"/>
        </w:rPr>
        <w:t xml:space="preserve">. </w:t>
      </w:r>
      <w:r w:rsidRPr="00FF0E69">
        <w:rPr>
          <w:rStyle w:val="Strong"/>
          <w:b w:val="0"/>
          <w:bCs/>
          <w:sz w:val="22"/>
          <w:szCs w:val="22"/>
          <w:lang w:val="en-GB"/>
        </w:rPr>
        <w:t xml:space="preserve">The evaluation committee rejected </w:t>
      </w:r>
      <w:r w:rsidR="008E08CB" w:rsidRPr="00FF0E69">
        <w:rPr>
          <w:rStyle w:val="Strong"/>
          <w:b w:val="0"/>
          <w:bCs/>
          <w:sz w:val="22"/>
          <w:szCs w:val="22"/>
          <w:lang w:val="en-GB"/>
        </w:rPr>
        <w:t xml:space="preserve">two of the participants as unsuitable because </w:t>
      </w:r>
      <w:r w:rsidRPr="00FF0E69">
        <w:rPr>
          <w:rStyle w:val="Strong"/>
          <w:b w:val="0"/>
          <w:bCs/>
          <w:sz w:val="22"/>
          <w:szCs w:val="22"/>
          <w:lang w:val="en-GB"/>
        </w:rPr>
        <w:t>their offers</w:t>
      </w:r>
      <w:r w:rsidR="008E08CB" w:rsidRPr="00FF0E69">
        <w:rPr>
          <w:rStyle w:val="Strong"/>
          <w:b w:val="0"/>
          <w:bCs/>
          <w:sz w:val="22"/>
          <w:szCs w:val="22"/>
          <w:lang w:val="en-GB"/>
        </w:rPr>
        <w:t xml:space="preserve"> weren’t </w:t>
      </w:r>
      <w:r w:rsidR="00BE0C5D" w:rsidRPr="00FF0E69">
        <w:rPr>
          <w:rStyle w:val="Strong"/>
          <w:b w:val="0"/>
          <w:bCs/>
          <w:sz w:val="22"/>
          <w:szCs w:val="22"/>
          <w:lang w:val="en-GB"/>
        </w:rPr>
        <w:t>dully</w:t>
      </w:r>
      <w:r w:rsidR="008E08CB" w:rsidRPr="00FF0E69">
        <w:rPr>
          <w:rStyle w:val="Strong"/>
          <w:b w:val="0"/>
          <w:bCs/>
          <w:sz w:val="22"/>
          <w:szCs w:val="22"/>
          <w:lang w:val="en-GB"/>
        </w:rPr>
        <w:t xml:space="preserve"> sealed</w:t>
      </w:r>
      <w:r w:rsidRPr="00FF0E69">
        <w:rPr>
          <w:rStyle w:val="Strong"/>
          <w:b w:val="0"/>
          <w:bCs/>
          <w:sz w:val="22"/>
          <w:szCs w:val="22"/>
          <w:lang w:val="en-GB"/>
        </w:rPr>
        <w:t xml:space="preserve">. According to the evaluation committee the technical and financial offers were supposed to be sealed in separate envelopes. This fact is proved by the evaluation committee report and an official letter of the chairperson No. 995/1/02.08.2021 is which he states that the </w:t>
      </w:r>
      <w:r w:rsidRPr="00A11101">
        <w:rPr>
          <w:rStyle w:val="Strong"/>
          <w:b w:val="0"/>
          <w:bCs/>
          <w:sz w:val="22"/>
          <w:szCs w:val="22"/>
          <w:lang w:val="en-GB"/>
        </w:rPr>
        <w:t xml:space="preserve">reason for rejection is that “technical and financial were divided”. According to the Instruction to Tenderers, point 10, </w:t>
      </w:r>
      <w:r w:rsidRPr="00A11101">
        <w:rPr>
          <w:rStyle w:val="Strong"/>
          <w:b w:val="0"/>
          <w:bCs/>
          <w:i/>
          <w:iCs/>
          <w:sz w:val="22"/>
          <w:szCs w:val="22"/>
          <w:lang w:val="en-GB"/>
        </w:rPr>
        <w:t>“</w:t>
      </w:r>
      <w:r w:rsidRPr="00A11101">
        <w:rPr>
          <w:bCs/>
          <w:i/>
          <w:iCs/>
          <w:sz w:val="22"/>
          <w:szCs w:val="22"/>
          <w:lang w:val="en-GB"/>
        </w:rPr>
        <w:t xml:space="preserve">The technical and financial offers must be placed </w:t>
      </w:r>
      <w:r w:rsidRPr="00A11101">
        <w:rPr>
          <w:b/>
          <w:i/>
          <w:iCs/>
          <w:sz w:val="22"/>
          <w:szCs w:val="22"/>
          <w:u w:val="single"/>
          <w:lang w:val="en-GB"/>
        </w:rPr>
        <w:t>together</w:t>
      </w:r>
      <w:r w:rsidRPr="00A11101">
        <w:rPr>
          <w:bCs/>
          <w:i/>
          <w:iCs/>
          <w:sz w:val="22"/>
          <w:szCs w:val="22"/>
          <w:lang w:val="en-GB"/>
        </w:rPr>
        <w:t xml:space="preserve"> in a sealed envelope. The envelope should then be placed in another single sealed envelope/package.</w:t>
      </w:r>
      <w:r w:rsidRPr="00A11101">
        <w:rPr>
          <w:bCs/>
          <w:i/>
          <w:iCs/>
          <w:sz w:val="22"/>
          <w:szCs w:val="22"/>
          <w:lang w:val="en-GB"/>
        </w:rPr>
        <w:t xml:space="preserve">”. </w:t>
      </w:r>
      <w:r w:rsidR="008979F5" w:rsidRPr="00A11101">
        <w:rPr>
          <w:bCs/>
          <w:sz w:val="22"/>
          <w:szCs w:val="22"/>
          <w:lang w:val="en-GB"/>
        </w:rPr>
        <w:t xml:space="preserve">Furthermore, in accordance with </w:t>
      </w:r>
      <w:r w:rsidR="008979F5" w:rsidRPr="00A11101">
        <w:rPr>
          <w:sz w:val="22"/>
          <w:szCs w:val="22"/>
          <w:lang w:val="en-GB"/>
        </w:rPr>
        <w:t>2.9.3. Responsibilities of evaluation committee members</w:t>
      </w:r>
      <w:r w:rsidR="008979F5" w:rsidRPr="00A11101">
        <w:rPr>
          <w:sz w:val="22"/>
          <w:szCs w:val="22"/>
          <w:lang w:val="en-GB"/>
        </w:rPr>
        <w:t xml:space="preserve"> of PRAG, </w:t>
      </w:r>
      <w:r w:rsidR="008979F5" w:rsidRPr="00A11101">
        <w:rPr>
          <w:i/>
          <w:iCs/>
          <w:sz w:val="22"/>
          <w:szCs w:val="22"/>
          <w:lang w:val="en-GB"/>
        </w:rPr>
        <w:t>“</w:t>
      </w:r>
      <w:r w:rsidR="008979F5" w:rsidRPr="00A11101">
        <w:rPr>
          <w:i/>
          <w:iCs/>
          <w:sz w:val="22"/>
          <w:szCs w:val="22"/>
          <w:lang w:val="en-GB"/>
        </w:rPr>
        <w:t>Tenders or proposals should not be rejected in the following cases:</w:t>
      </w:r>
      <w:r w:rsidR="008979F5" w:rsidRPr="00A11101">
        <w:rPr>
          <w:i/>
          <w:iCs/>
          <w:sz w:val="22"/>
          <w:szCs w:val="22"/>
          <w:lang w:val="en-GB"/>
        </w:rPr>
        <w:t xml:space="preserve"> </w:t>
      </w:r>
      <w:r w:rsidR="008979F5" w:rsidRPr="00A11101">
        <w:rPr>
          <w:i/>
          <w:iCs/>
          <w:sz w:val="22"/>
          <w:szCs w:val="22"/>
          <w:lang w:val="en-GB"/>
        </w:rPr>
        <w:t>The tender was sent in a single envelope rather than the two envelopes required, provided the</w:t>
      </w:r>
      <w:r w:rsidR="008979F5" w:rsidRPr="00A11101">
        <w:rPr>
          <w:i/>
          <w:iCs/>
          <w:sz w:val="22"/>
          <w:szCs w:val="22"/>
          <w:lang w:val="en-GB"/>
        </w:rPr>
        <w:t xml:space="preserve"> </w:t>
      </w:r>
      <w:r w:rsidR="008979F5" w:rsidRPr="00A11101">
        <w:rPr>
          <w:i/>
          <w:iCs/>
          <w:sz w:val="22"/>
          <w:szCs w:val="22"/>
          <w:lang w:val="en-GB"/>
        </w:rPr>
        <w:t>envelope is sealed (the confidentiality of the tender has been preserved)</w:t>
      </w:r>
      <w:r w:rsidR="008979F5" w:rsidRPr="00A11101">
        <w:rPr>
          <w:i/>
          <w:iCs/>
          <w:sz w:val="22"/>
          <w:szCs w:val="22"/>
          <w:lang w:val="en-GB"/>
        </w:rPr>
        <w:t xml:space="preserve">. </w:t>
      </w:r>
      <w:r w:rsidR="00A80880">
        <w:rPr>
          <w:sz w:val="22"/>
          <w:szCs w:val="22"/>
          <w:lang w:val="en-GB"/>
        </w:rPr>
        <w:t xml:space="preserve">This means that two of the tenderers </w:t>
      </w:r>
      <w:proofErr w:type="spellStart"/>
      <w:r w:rsidR="00A80880">
        <w:rPr>
          <w:sz w:val="22"/>
          <w:szCs w:val="22"/>
          <w:lang w:val="en-GB"/>
        </w:rPr>
        <w:t>Excelor</w:t>
      </w:r>
      <w:proofErr w:type="spellEnd"/>
      <w:r w:rsidR="00A80880">
        <w:rPr>
          <w:sz w:val="22"/>
          <w:szCs w:val="22"/>
          <w:lang w:val="en-GB"/>
        </w:rPr>
        <w:t xml:space="preserve"> Holding group Ltd. and </w:t>
      </w:r>
      <w:proofErr w:type="spellStart"/>
      <w:r w:rsidR="00A80880">
        <w:rPr>
          <w:sz w:val="22"/>
          <w:szCs w:val="22"/>
          <w:lang w:val="en-GB"/>
        </w:rPr>
        <w:t>A</w:t>
      </w:r>
      <w:r w:rsidR="00B92470">
        <w:rPr>
          <w:sz w:val="22"/>
          <w:szCs w:val="22"/>
          <w:lang w:val="en-GB"/>
        </w:rPr>
        <w:t>v</w:t>
      </w:r>
      <w:r w:rsidR="00A80880">
        <w:rPr>
          <w:sz w:val="22"/>
          <w:szCs w:val="22"/>
          <w:lang w:val="en-GB"/>
        </w:rPr>
        <w:t>to</w:t>
      </w:r>
      <w:proofErr w:type="spellEnd"/>
      <w:r w:rsidR="00A80880">
        <w:rPr>
          <w:sz w:val="22"/>
          <w:szCs w:val="22"/>
          <w:lang w:val="en-GB"/>
        </w:rPr>
        <w:t xml:space="preserve"> Engineering </w:t>
      </w:r>
      <w:r w:rsidR="00B92470">
        <w:rPr>
          <w:sz w:val="22"/>
          <w:szCs w:val="22"/>
          <w:lang w:val="en-GB"/>
        </w:rPr>
        <w:t xml:space="preserve">were rejected in breach of art. </w:t>
      </w:r>
      <w:r w:rsidR="00B92470" w:rsidRPr="00B92470">
        <w:rPr>
          <w:sz w:val="22"/>
          <w:szCs w:val="22"/>
          <w:lang w:val="en-GB"/>
        </w:rPr>
        <w:t>2.9.3.</w:t>
      </w:r>
      <w:r w:rsidR="00B92470">
        <w:rPr>
          <w:sz w:val="22"/>
          <w:szCs w:val="22"/>
          <w:lang w:val="en-GB"/>
        </w:rPr>
        <w:t xml:space="preserve"> of PRAG and in breach with the published Instructions to tenderers. </w:t>
      </w:r>
    </w:p>
    <w:p w14:paraId="59B2AE7B" w14:textId="64EB6247" w:rsidR="00A75B38" w:rsidRDefault="00984CC9" w:rsidP="000D5763">
      <w:pPr>
        <w:jc w:val="both"/>
        <w:rPr>
          <w:bCs/>
          <w:lang w:val="en-GB"/>
        </w:rPr>
      </w:pPr>
      <w:r w:rsidRPr="00984CC9">
        <w:rPr>
          <w:b/>
          <w:bCs/>
          <w:sz w:val="22"/>
          <w:szCs w:val="22"/>
          <w:lang w:val="en-GB"/>
        </w:rPr>
        <w:t xml:space="preserve">2. </w:t>
      </w:r>
      <w:r w:rsidR="004617E5" w:rsidRPr="004617E5">
        <w:rPr>
          <w:sz w:val="22"/>
          <w:szCs w:val="22"/>
          <w:lang w:val="en-GB"/>
        </w:rPr>
        <w:t>There is another irregularity in the work of the evaluation committee</w:t>
      </w:r>
      <w:r w:rsidR="004617E5">
        <w:rPr>
          <w:rStyle w:val="Strong"/>
        </w:rPr>
        <w:t xml:space="preserve">.  </w:t>
      </w:r>
      <w:r w:rsidR="004617E5" w:rsidRPr="004617E5">
        <w:rPr>
          <w:rStyle w:val="Strong"/>
          <w:b w:val="0"/>
          <w:bCs/>
        </w:rPr>
        <w:t xml:space="preserve">According to the PRAG basic rules and supply tender procedures rules, if a tenderer has been rejected </w:t>
      </w:r>
      <w:r w:rsidR="004617E5">
        <w:rPr>
          <w:rStyle w:val="Strong"/>
          <w:b w:val="0"/>
          <w:bCs/>
        </w:rPr>
        <w:t>for a formal reason such as the one stated in the</w:t>
      </w:r>
      <w:r w:rsidR="004617E5" w:rsidRPr="004617E5">
        <w:rPr>
          <w:rStyle w:val="Strong"/>
          <w:b w:val="0"/>
          <w:bCs/>
        </w:rPr>
        <w:t xml:space="preserve"> tender opening report</w:t>
      </w:r>
      <w:r w:rsidR="004617E5">
        <w:rPr>
          <w:rStyle w:val="Strong"/>
          <w:b w:val="0"/>
          <w:bCs/>
        </w:rPr>
        <w:t xml:space="preserve"> summary of tenders received</w:t>
      </w:r>
      <w:r w:rsidR="00567F9C">
        <w:rPr>
          <w:rStyle w:val="Strong"/>
          <w:b w:val="0"/>
          <w:bCs/>
        </w:rPr>
        <w:t xml:space="preserve">, the offer should not be considered for further evaluation. Even if the rejection of the </w:t>
      </w:r>
      <w:proofErr w:type="spellStart"/>
      <w:r w:rsidR="00567F9C" w:rsidRPr="00567F9C">
        <w:rPr>
          <w:bCs/>
          <w:lang w:val="en-GB"/>
        </w:rPr>
        <w:t>Excelor</w:t>
      </w:r>
      <w:proofErr w:type="spellEnd"/>
      <w:r w:rsidR="00567F9C" w:rsidRPr="00567F9C">
        <w:rPr>
          <w:bCs/>
          <w:lang w:val="en-GB"/>
        </w:rPr>
        <w:t xml:space="preserve"> Holding group Ltd. and </w:t>
      </w:r>
      <w:proofErr w:type="spellStart"/>
      <w:r w:rsidR="00567F9C" w:rsidRPr="00567F9C">
        <w:rPr>
          <w:bCs/>
          <w:lang w:val="en-GB"/>
        </w:rPr>
        <w:t>Avto</w:t>
      </w:r>
      <w:proofErr w:type="spellEnd"/>
      <w:r w:rsidR="00567F9C" w:rsidRPr="00567F9C">
        <w:rPr>
          <w:bCs/>
          <w:lang w:val="en-GB"/>
        </w:rPr>
        <w:t xml:space="preserve"> Engineering</w:t>
      </w:r>
      <w:r w:rsidR="00567F9C">
        <w:rPr>
          <w:bCs/>
          <w:lang w:val="en-GB"/>
        </w:rPr>
        <w:t xml:space="preserve"> was correct, the evaluation committee should not have considered the two offers and examine them in the technical evaluation report</w:t>
      </w:r>
      <w:r w:rsidR="007D6989">
        <w:rPr>
          <w:bCs/>
          <w:lang w:val="en-GB"/>
        </w:rPr>
        <w:t xml:space="preserve">. </w:t>
      </w:r>
    </w:p>
    <w:p w14:paraId="77B3255A" w14:textId="0FAC2275" w:rsidR="000D5763" w:rsidRPr="000D5763" w:rsidRDefault="007D6989" w:rsidP="000D5763">
      <w:pPr>
        <w:jc w:val="both"/>
        <w:rPr>
          <w:b/>
        </w:rPr>
      </w:pPr>
      <w:r>
        <w:rPr>
          <w:bCs/>
          <w:lang w:val="en-GB"/>
        </w:rPr>
        <w:t>There is also another mistake in the evaluation report of the evaluation committee,</w:t>
      </w:r>
      <w:r w:rsidR="00567F9C">
        <w:rPr>
          <w:bCs/>
          <w:lang w:val="en-GB"/>
        </w:rPr>
        <w:t xml:space="preserve"> where it </w:t>
      </w:r>
      <w:r>
        <w:rPr>
          <w:bCs/>
          <w:lang w:val="en-GB"/>
        </w:rPr>
        <w:t>was</w:t>
      </w:r>
      <w:r w:rsidR="00567F9C">
        <w:rPr>
          <w:bCs/>
          <w:lang w:val="en-GB"/>
        </w:rPr>
        <w:t xml:space="preserve"> written that “</w:t>
      </w:r>
      <w:r w:rsidR="00567F9C" w:rsidRPr="00567F9C">
        <w:rPr>
          <w:bCs/>
          <w:i/>
          <w:iCs/>
          <w:lang w:val="en-GB"/>
        </w:rPr>
        <w:t>The offer of tenderer does not contain documentation related to the prescribed criteria for selection of tenderer from article 16 – Selection criteria of annex A5f”</w:t>
      </w:r>
      <w:r w:rsidR="00567F9C">
        <w:rPr>
          <w:bCs/>
          <w:lang w:val="en-GB"/>
        </w:rPr>
        <w:t xml:space="preserve">. This statement of the evaluation committee is also in breach of the requirements of the tender procedure, where </w:t>
      </w:r>
      <w:r>
        <w:rPr>
          <w:bCs/>
          <w:lang w:val="en-GB"/>
        </w:rPr>
        <w:t xml:space="preserve">the Contracting Authority </w:t>
      </w:r>
      <w:r w:rsidR="000D5763">
        <w:rPr>
          <w:bCs/>
          <w:lang w:val="en-GB"/>
        </w:rPr>
        <w:t>should</w:t>
      </w:r>
      <w:r>
        <w:rPr>
          <w:bCs/>
          <w:lang w:val="en-GB"/>
        </w:rPr>
        <w:t xml:space="preserve"> not require documentary proves of the selection criteria. According to point 16 of the Contract Notice and point </w:t>
      </w:r>
      <w:r w:rsidR="001B57C6">
        <w:rPr>
          <w:bCs/>
          <w:lang w:val="en-GB"/>
        </w:rPr>
        <w:t>11</w:t>
      </w:r>
      <w:r>
        <w:rPr>
          <w:bCs/>
          <w:lang w:val="en-GB"/>
        </w:rPr>
        <w:t xml:space="preserve"> of the Instructions to tenderers </w:t>
      </w:r>
      <w:r w:rsidR="001B57C6">
        <w:rPr>
          <w:bCs/>
          <w:lang w:val="en-GB"/>
        </w:rPr>
        <w:t>at the time of submission of the offer compli</w:t>
      </w:r>
      <w:r w:rsidR="00B41E24">
        <w:rPr>
          <w:bCs/>
          <w:lang w:val="en-GB"/>
        </w:rPr>
        <w:t>a</w:t>
      </w:r>
      <w:r w:rsidR="001B57C6">
        <w:rPr>
          <w:bCs/>
          <w:lang w:val="en-GB"/>
        </w:rPr>
        <w:t xml:space="preserve">nce with the selection criteria is </w:t>
      </w:r>
      <w:r w:rsidR="00B41E24">
        <w:rPr>
          <w:bCs/>
          <w:lang w:val="en-GB"/>
        </w:rPr>
        <w:t xml:space="preserve">proved by filling in point 4, 5 and 6 of the tender submission </w:t>
      </w:r>
      <w:proofErr w:type="gramStart"/>
      <w:r w:rsidR="00B41E24">
        <w:rPr>
          <w:bCs/>
          <w:lang w:val="en-GB"/>
        </w:rPr>
        <w:t>form</w:t>
      </w:r>
      <w:proofErr w:type="gramEnd"/>
      <w:r w:rsidR="000936E8">
        <w:rPr>
          <w:bCs/>
          <w:lang w:val="en-GB"/>
        </w:rPr>
        <w:t xml:space="preserve">, which is made by both </w:t>
      </w:r>
      <w:proofErr w:type="spellStart"/>
      <w:r w:rsidR="000936E8" w:rsidRPr="000936E8">
        <w:rPr>
          <w:bCs/>
          <w:lang w:val="en-GB"/>
        </w:rPr>
        <w:t>Excelor</w:t>
      </w:r>
      <w:proofErr w:type="spellEnd"/>
      <w:r w:rsidR="000936E8" w:rsidRPr="000936E8">
        <w:rPr>
          <w:bCs/>
          <w:lang w:val="en-GB"/>
        </w:rPr>
        <w:t xml:space="preserve"> Holding group Ltd. and </w:t>
      </w:r>
      <w:proofErr w:type="spellStart"/>
      <w:r w:rsidR="000936E8" w:rsidRPr="000936E8">
        <w:rPr>
          <w:bCs/>
          <w:lang w:val="en-GB"/>
        </w:rPr>
        <w:t>Avto</w:t>
      </w:r>
      <w:proofErr w:type="spellEnd"/>
      <w:r w:rsidR="000936E8" w:rsidRPr="000936E8">
        <w:rPr>
          <w:bCs/>
          <w:lang w:val="en-GB"/>
        </w:rPr>
        <w:t xml:space="preserve"> Engineering</w:t>
      </w:r>
      <w:r w:rsidR="000936E8">
        <w:rPr>
          <w:bCs/>
          <w:lang w:val="en-GB"/>
        </w:rPr>
        <w:t xml:space="preserve">. </w:t>
      </w:r>
      <w:r w:rsidR="005A078A">
        <w:rPr>
          <w:bCs/>
          <w:lang w:val="en-GB"/>
        </w:rPr>
        <w:t xml:space="preserve">This statement of the evaluation committee is </w:t>
      </w:r>
      <w:r w:rsidR="005A078A" w:rsidRPr="005A078A">
        <w:rPr>
          <w:rStyle w:val="Strong"/>
          <w:b w:val="0"/>
          <w:bCs/>
        </w:rPr>
        <w:t>in infringement</w:t>
      </w:r>
      <w:r w:rsidR="005A078A">
        <w:rPr>
          <w:rStyle w:val="Strong"/>
        </w:rPr>
        <w:t xml:space="preserve"> </w:t>
      </w:r>
      <w:r w:rsidR="005A078A" w:rsidRPr="005A078A">
        <w:rPr>
          <w:rStyle w:val="Strong"/>
          <w:b w:val="0"/>
          <w:bCs/>
        </w:rPr>
        <w:t xml:space="preserve">of </w:t>
      </w:r>
      <w:r w:rsidR="000D5763" w:rsidRPr="000D5763">
        <w:rPr>
          <w:b/>
          <w:u w:val="single"/>
          <w:lang w:val="en-GB"/>
        </w:rPr>
        <w:t xml:space="preserve">PRAG’s point </w:t>
      </w:r>
      <w:r w:rsidR="000D5763" w:rsidRPr="000D5763">
        <w:rPr>
          <w:b/>
          <w:u w:val="single"/>
          <w:lang w:val="en-GB"/>
        </w:rPr>
        <w:lastRenderedPageBreak/>
        <w:t>2.6.11.1.</w:t>
      </w:r>
      <w:r w:rsidR="005A078A">
        <w:rPr>
          <w:b/>
          <w:u w:val="single"/>
          <w:lang w:val="en-GB"/>
        </w:rPr>
        <w:t xml:space="preserve">, which </w:t>
      </w:r>
      <w:r w:rsidR="000D5763" w:rsidRPr="000D5763">
        <w:rPr>
          <w:b/>
          <w:u w:val="single"/>
          <w:lang w:val="en-GB"/>
        </w:rPr>
        <w:t>states that “only successful tenderers have to supply proof documents to support the information submitted in the tender before the award of the contract”.</w:t>
      </w:r>
    </w:p>
    <w:p w14:paraId="0F56B738" w14:textId="6F6886CD" w:rsidR="00DE79B7" w:rsidRDefault="00984CC9" w:rsidP="006E2196">
      <w:pPr>
        <w:jc w:val="both"/>
        <w:rPr>
          <w:rStyle w:val="Strong"/>
          <w:b w:val="0"/>
          <w:bCs/>
          <w:sz w:val="22"/>
          <w:szCs w:val="22"/>
          <w:lang w:val="en-GB"/>
        </w:rPr>
      </w:pPr>
      <w:r>
        <w:rPr>
          <w:rStyle w:val="Strong"/>
          <w:sz w:val="22"/>
          <w:szCs w:val="22"/>
          <w:lang w:val="en-GB"/>
        </w:rPr>
        <w:t>3</w:t>
      </w:r>
      <w:r w:rsidR="00D4146A" w:rsidRPr="009E74DB">
        <w:rPr>
          <w:rStyle w:val="Strong"/>
          <w:sz w:val="22"/>
          <w:szCs w:val="22"/>
          <w:lang w:val="en-GB"/>
        </w:rPr>
        <w:t>.</w:t>
      </w:r>
      <w:r w:rsidR="00D4146A" w:rsidRPr="006E2196">
        <w:rPr>
          <w:rStyle w:val="Strong"/>
          <w:sz w:val="22"/>
          <w:szCs w:val="22"/>
          <w:lang w:val="en-GB"/>
        </w:rPr>
        <w:t xml:space="preserve"> </w:t>
      </w:r>
      <w:r w:rsidR="006E2196" w:rsidRPr="006E2196">
        <w:rPr>
          <w:rStyle w:val="Strong"/>
          <w:b w:val="0"/>
          <w:bCs/>
          <w:sz w:val="22"/>
          <w:szCs w:val="22"/>
          <w:lang w:val="en-GB"/>
        </w:rPr>
        <w:t>According to article</w:t>
      </w:r>
      <w:r w:rsidR="006E2196">
        <w:rPr>
          <w:rStyle w:val="Strong"/>
          <w:sz w:val="22"/>
          <w:szCs w:val="22"/>
          <w:lang w:val="en-GB"/>
        </w:rPr>
        <w:t xml:space="preserve"> </w:t>
      </w:r>
      <w:r w:rsidR="006E2196" w:rsidRPr="006E2196">
        <w:rPr>
          <w:rStyle w:val="Strong"/>
          <w:b w:val="0"/>
          <w:bCs/>
          <w:sz w:val="22"/>
          <w:szCs w:val="22"/>
          <w:lang w:val="en-GB"/>
        </w:rPr>
        <w:t>4.3.9.7. The evaluation committee's conclusions</w:t>
      </w:r>
      <w:r w:rsidR="006E2196">
        <w:rPr>
          <w:rStyle w:val="Strong"/>
          <w:b w:val="0"/>
          <w:bCs/>
          <w:sz w:val="22"/>
          <w:szCs w:val="22"/>
          <w:lang w:val="en-GB"/>
        </w:rPr>
        <w:t xml:space="preserve"> </w:t>
      </w:r>
      <w:r w:rsidR="006E2196" w:rsidRPr="006E2196">
        <w:rPr>
          <w:rStyle w:val="Strong"/>
          <w:b w:val="0"/>
          <w:bCs/>
          <w:i/>
          <w:iCs/>
          <w:sz w:val="22"/>
          <w:szCs w:val="22"/>
          <w:lang w:val="en-GB"/>
        </w:rPr>
        <w:t>“</w:t>
      </w:r>
      <w:r w:rsidR="006E2196" w:rsidRPr="006E2196">
        <w:rPr>
          <w:rStyle w:val="Strong"/>
          <w:b w:val="0"/>
          <w:bCs/>
          <w:i/>
          <w:iCs/>
          <w:sz w:val="22"/>
          <w:szCs w:val="22"/>
          <w:lang w:val="en-GB"/>
        </w:rPr>
        <w:t xml:space="preserve">The evaluation committee's decisions are </w:t>
      </w:r>
      <w:proofErr w:type="gramStart"/>
      <w:r w:rsidR="006E2196" w:rsidRPr="006E2196">
        <w:rPr>
          <w:rStyle w:val="Strong"/>
          <w:b w:val="0"/>
          <w:bCs/>
          <w:i/>
          <w:iCs/>
          <w:sz w:val="22"/>
          <w:szCs w:val="22"/>
          <w:lang w:val="en-GB"/>
        </w:rPr>
        <w:t>collective</w:t>
      </w:r>
      <w:proofErr w:type="gramEnd"/>
      <w:r w:rsidR="006E2196" w:rsidRPr="006E2196">
        <w:rPr>
          <w:rStyle w:val="Strong"/>
          <w:b w:val="0"/>
          <w:bCs/>
          <w:i/>
          <w:iCs/>
          <w:sz w:val="22"/>
          <w:szCs w:val="22"/>
          <w:lang w:val="en-GB"/>
        </w:rPr>
        <w:t xml:space="preserve"> and its deliberations must remain secret. The</w:t>
      </w:r>
      <w:r w:rsidR="006E2196" w:rsidRPr="006E2196">
        <w:rPr>
          <w:rStyle w:val="Strong"/>
          <w:b w:val="0"/>
          <w:bCs/>
          <w:i/>
          <w:iCs/>
          <w:sz w:val="22"/>
          <w:szCs w:val="22"/>
          <w:lang w:val="en-GB"/>
        </w:rPr>
        <w:t xml:space="preserve"> </w:t>
      </w:r>
      <w:r w:rsidR="006E2196" w:rsidRPr="006E2196">
        <w:rPr>
          <w:rStyle w:val="Strong"/>
          <w:b w:val="0"/>
          <w:bCs/>
          <w:i/>
          <w:iCs/>
          <w:sz w:val="22"/>
          <w:szCs w:val="22"/>
          <w:lang w:val="en-GB"/>
        </w:rPr>
        <w:t>evaluation committee members and any observers are bound to secrecy. If its law conflicts with the</w:t>
      </w:r>
      <w:r w:rsidR="006E2196" w:rsidRPr="006E2196">
        <w:rPr>
          <w:rStyle w:val="Strong"/>
          <w:b w:val="0"/>
          <w:bCs/>
          <w:i/>
          <w:iCs/>
          <w:sz w:val="22"/>
          <w:szCs w:val="22"/>
          <w:lang w:val="en-GB"/>
        </w:rPr>
        <w:t xml:space="preserve"> </w:t>
      </w:r>
      <w:r w:rsidR="006E2196" w:rsidRPr="006E2196">
        <w:rPr>
          <w:rStyle w:val="Strong"/>
          <w:b w:val="0"/>
          <w:bCs/>
          <w:i/>
          <w:iCs/>
          <w:sz w:val="22"/>
          <w:szCs w:val="22"/>
          <w:lang w:val="en-GB"/>
        </w:rPr>
        <w:t>confidentiality required, the contracting authority must obtain prior authorisation from the European</w:t>
      </w:r>
      <w:r w:rsidR="006E2196" w:rsidRPr="006E2196">
        <w:rPr>
          <w:rStyle w:val="Strong"/>
          <w:b w:val="0"/>
          <w:bCs/>
          <w:i/>
          <w:iCs/>
          <w:sz w:val="22"/>
          <w:szCs w:val="22"/>
          <w:lang w:val="en-GB"/>
        </w:rPr>
        <w:t xml:space="preserve"> </w:t>
      </w:r>
      <w:r w:rsidR="006E2196" w:rsidRPr="006E2196">
        <w:rPr>
          <w:rStyle w:val="Strong"/>
          <w:b w:val="0"/>
          <w:bCs/>
          <w:i/>
          <w:iCs/>
          <w:sz w:val="22"/>
          <w:szCs w:val="22"/>
          <w:lang w:val="en-GB"/>
        </w:rPr>
        <w:t>Commission before disclosing any information.</w:t>
      </w:r>
      <w:r w:rsidR="006E2196" w:rsidRPr="006E2196">
        <w:rPr>
          <w:rStyle w:val="Strong"/>
          <w:b w:val="0"/>
          <w:bCs/>
          <w:i/>
          <w:iCs/>
          <w:sz w:val="22"/>
          <w:szCs w:val="22"/>
          <w:lang w:val="en-GB"/>
        </w:rPr>
        <w:t>”</w:t>
      </w:r>
      <w:r w:rsidR="008D4705">
        <w:rPr>
          <w:rStyle w:val="Strong"/>
          <w:b w:val="0"/>
          <w:bCs/>
          <w:i/>
          <w:iCs/>
          <w:sz w:val="22"/>
          <w:szCs w:val="22"/>
          <w:lang w:val="en-GB"/>
        </w:rPr>
        <w:t xml:space="preserve"> </w:t>
      </w:r>
      <w:r w:rsidR="008D4705">
        <w:rPr>
          <w:rStyle w:val="Strong"/>
          <w:b w:val="0"/>
          <w:bCs/>
          <w:sz w:val="22"/>
          <w:szCs w:val="22"/>
          <w:lang w:val="en-GB"/>
        </w:rPr>
        <w:t xml:space="preserve">Having in mind that the Tourist Organization </w:t>
      </w:r>
      <w:proofErr w:type="spellStart"/>
      <w:r w:rsidR="008D4705">
        <w:rPr>
          <w:rStyle w:val="Strong"/>
          <w:b w:val="0"/>
          <w:bCs/>
          <w:sz w:val="22"/>
          <w:szCs w:val="22"/>
          <w:lang w:val="en-GB"/>
        </w:rPr>
        <w:t>Surdulica</w:t>
      </w:r>
      <w:proofErr w:type="spellEnd"/>
      <w:r w:rsidR="008D4705">
        <w:rPr>
          <w:rStyle w:val="Strong"/>
          <w:b w:val="0"/>
          <w:bCs/>
          <w:sz w:val="22"/>
          <w:szCs w:val="22"/>
          <w:lang w:val="en-GB"/>
        </w:rPr>
        <w:t xml:space="preserve"> as a Contracting Authority of the tender such an authorization is no required the sending of information before the end of the evaluation of tenderers is in breach of this requirements. The opening report with outgoing No </w:t>
      </w:r>
      <w:r w:rsidR="0059078D">
        <w:rPr>
          <w:rStyle w:val="Strong"/>
          <w:b w:val="0"/>
          <w:bCs/>
          <w:sz w:val="22"/>
          <w:szCs w:val="22"/>
          <w:lang w:val="en-GB"/>
        </w:rPr>
        <w:t>975/26.07.2021</w:t>
      </w:r>
      <w:r w:rsidR="006E2196">
        <w:rPr>
          <w:rStyle w:val="Strong"/>
          <w:b w:val="0"/>
          <w:bCs/>
          <w:sz w:val="22"/>
          <w:szCs w:val="22"/>
          <w:lang w:val="en-GB"/>
        </w:rPr>
        <w:t xml:space="preserve"> </w:t>
      </w:r>
      <w:r w:rsidR="00833E05">
        <w:rPr>
          <w:rStyle w:val="Strong"/>
          <w:b w:val="0"/>
          <w:bCs/>
          <w:sz w:val="22"/>
          <w:szCs w:val="22"/>
          <w:lang w:val="en-GB"/>
        </w:rPr>
        <w:t>was sent to all three participants</w:t>
      </w:r>
      <w:r w:rsidR="00DE79B7">
        <w:rPr>
          <w:rStyle w:val="Strong"/>
          <w:b w:val="0"/>
          <w:bCs/>
          <w:sz w:val="22"/>
          <w:szCs w:val="22"/>
          <w:lang w:val="en-GB"/>
        </w:rPr>
        <w:t xml:space="preserve"> before the end of the evaluation process. </w:t>
      </w:r>
    </w:p>
    <w:p w14:paraId="58BA8DC8" w14:textId="70B9BCA1" w:rsidR="00733133" w:rsidRPr="000F4D72" w:rsidRDefault="00984CC9" w:rsidP="00481BC9">
      <w:pPr>
        <w:jc w:val="both"/>
        <w:rPr>
          <w:rStyle w:val="Strong"/>
          <w:b w:val="0"/>
          <w:bCs/>
          <w:sz w:val="22"/>
          <w:szCs w:val="22"/>
        </w:rPr>
      </w:pPr>
      <w:r>
        <w:rPr>
          <w:rStyle w:val="Strong"/>
          <w:sz w:val="22"/>
          <w:szCs w:val="22"/>
          <w:lang w:val="en-GB"/>
        </w:rPr>
        <w:t>4</w:t>
      </w:r>
      <w:r w:rsidR="00DF07F0" w:rsidRPr="00DF07F0">
        <w:rPr>
          <w:rStyle w:val="Strong"/>
          <w:sz w:val="22"/>
          <w:szCs w:val="22"/>
          <w:lang w:val="en-GB"/>
        </w:rPr>
        <w:t xml:space="preserve">. </w:t>
      </w:r>
      <w:r w:rsidR="00481BC9" w:rsidRPr="000F4D72">
        <w:rPr>
          <w:rStyle w:val="Strong"/>
          <w:b w:val="0"/>
          <w:bCs/>
          <w:sz w:val="22"/>
          <w:szCs w:val="22"/>
          <w:lang w:val="en-GB"/>
        </w:rPr>
        <w:t>Furthermore</w:t>
      </w:r>
      <w:r w:rsidR="00733133" w:rsidRPr="000F4D72">
        <w:rPr>
          <w:rStyle w:val="Strong"/>
          <w:b w:val="0"/>
          <w:bCs/>
          <w:sz w:val="22"/>
          <w:szCs w:val="22"/>
          <w:lang w:val="en-GB"/>
        </w:rPr>
        <w:t>,</w:t>
      </w:r>
      <w:r w:rsidR="00481BC9" w:rsidRPr="000F4D72">
        <w:rPr>
          <w:rStyle w:val="Strong"/>
          <w:b w:val="0"/>
          <w:bCs/>
          <w:sz w:val="22"/>
          <w:szCs w:val="22"/>
          <w:lang w:val="en-GB"/>
        </w:rPr>
        <w:t xml:space="preserve"> t</w:t>
      </w:r>
      <w:r w:rsidR="00481BC9" w:rsidRPr="000F4D72">
        <w:rPr>
          <w:rStyle w:val="Strong"/>
          <w:b w:val="0"/>
          <w:bCs/>
          <w:sz w:val="22"/>
          <w:szCs w:val="22"/>
          <w:lang w:val="en-GB"/>
        </w:rPr>
        <w:t xml:space="preserve">here is an internal contradiction in the documents from the work of the </w:t>
      </w:r>
      <w:r w:rsidR="00481BC9" w:rsidRPr="000F4D72">
        <w:rPr>
          <w:rStyle w:val="Strong"/>
          <w:b w:val="0"/>
          <w:bCs/>
          <w:sz w:val="22"/>
          <w:szCs w:val="22"/>
          <w:lang w:val="en-GB"/>
        </w:rPr>
        <w:t>evaluation committee</w:t>
      </w:r>
      <w:r w:rsidR="00481BC9" w:rsidRPr="000F4D72">
        <w:rPr>
          <w:rStyle w:val="Strong"/>
          <w:b w:val="0"/>
          <w:bCs/>
          <w:sz w:val="22"/>
          <w:szCs w:val="22"/>
          <w:lang w:val="en-GB"/>
        </w:rPr>
        <w:t xml:space="preserve"> </w:t>
      </w:r>
      <w:r w:rsidR="00481BC9" w:rsidRPr="000F4D72">
        <w:rPr>
          <w:rStyle w:val="Strong"/>
          <w:b w:val="0"/>
          <w:bCs/>
          <w:sz w:val="22"/>
          <w:szCs w:val="22"/>
          <w:lang w:val="en-GB"/>
        </w:rPr>
        <w:t>–</w:t>
      </w:r>
      <w:r w:rsidR="00481BC9" w:rsidRPr="000F4D72">
        <w:rPr>
          <w:rStyle w:val="Strong"/>
          <w:b w:val="0"/>
          <w:bCs/>
          <w:sz w:val="22"/>
          <w:szCs w:val="22"/>
          <w:lang w:val="en-GB"/>
        </w:rPr>
        <w:t xml:space="preserve"> </w:t>
      </w:r>
      <w:r w:rsidR="00481BC9" w:rsidRPr="000F4D72">
        <w:rPr>
          <w:rStyle w:val="Strong"/>
          <w:b w:val="0"/>
          <w:bCs/>
          <w:sz w:val="22"/>
          <w:szCs w:val="22"/>
          <w:lang w:val="en-GB"/>
        </w:rPr>
        <w:t xml:space="preserve">the committee accepts that </w:t>
      </w:r>
      <w:r w:rsidR="00481BC9" w:rsidRPr="000F4D72">
        <w:rPr>
          <w:rStyle w:val="Strong"/>
          <w:b w:val="0"/>
          <w:bCs/>
          <w:sz w:val="22"/>
          <w:szCs w:val="22"/>
          <w:lang w:val="en-GB"/>
        </w:rPr>
        <w:t xml:space="preserve">the offered prices </w:t>
      </w:r>
      <w:r w:rsidR="000F4D72">
        <w:rPr>
          <w:rStyle w:val="Strong"/>
          <w:b w:val="0"/>
          <w:bCs/>
          <w:sz w:val="22"/>
          <w:szCs w:val="22"/>
          <w:lang w:val="en-GB"/>
        </w:rPr>
        <w:t xml:space="preserve">should be placed </w:t>
      </w:r>
      <w:proofErr w:type="gramStart"/>
      <w:r w:rsidR="000F4D72">
        <w:rPr>
          <w:rStyle w:val="Strong"/>
          <w:b w:val="0"/>
          <w:bCs/>
          <w:sz w:val="22"/>
          <w:szCs w:val="22"/>
          <w:lang w:val="en-GB"/>
        </w:rPr>
        <w:t>in  a</w:t>
      </w:r>
      <w:proofErr w:type="gramEnd"/>
      <w:r w:rsidR="000F4D72">
        <w:rPr>
          <w:rStyle w:val="Strong"/>
          <w:b w:val="0"/>
          <w:bCs/>
          <w:sz w:val="22"/>
          <w:szCs w:val="22"/>
          <w:lang w:val="en-GB"/>
        </w:rPr>
        <w:t xml:space="preserve"> separate envelope and </w:t>
      </w:r>
      <w:r w:rsidR="00481BC9" w:rsidRPr="000F4D72">
        <w:rPr>
          <w:rStyle w:val="Strong"/>
          <w:b w:val="0"/>
          <w:bCs/>
          <w:sz w:val="22"/>
          <w:szCs w:val="22"/>
          <w:lang w:val="en-GB"/>
        </w:rPr>
        <w:t xml:space="preserve">are subject to separate and subsequent evaluation according to the </w:t>
      </w:r>
      <w:r w:rsidR="00481BC9" w:rsidRPr="000F4D72">
        <w:rPr>
          <w:rStyle w:val="Strong"/>
          <w:b w:val="0"/>
          <w:bCs/>
          <w:sz w:val="22"/>
          <w:szCs w:val="22"/>
          <w:lang w:val="en-GB"/>
        </w:rPr>
        <w:t xml:space="preserve">evaluation </w:t>
      </w:r>
      <w:r w:rsidR="00481BC9" w:rsidRPr="000F4D72">
        <w:rPr>
          <w:rStyle w:val="Strong"/>
          <w:b w:val="0"/>
          <w:bCs/>
          <w:sz w:val="22"/>
          <w:szCs w:val="22"/>
          <w:lang w:val="en-GB"/>
        </w:rPr>
        <w:t>report, but at the same time they are indicated</w:t>
      </w:r>
      <w:r w:rsidR="00481BC9" w:rsidRPr="000F4D72">
        <w:rPr>
          <w:rStyle w:val="Strong"/>
          <w:b w:val="0"/>
          <w:bCs/>
          <w:sz w:val="22"/>
          <w:szCs w:val="22"/>
          <w:lang w:val="en-GB"/>
        </w:rPr>
        <w:t xml:space="preserve"> point 4 of the opening</w:t>
      </w:r>
      <w:r w:rsidR="00481BC9" w:rsidRPr="000F4D72">
        <w:rPr>
          <w:rStyle w:val="Strong"/>
          <w:b w:val="0"/>
          <w:bCs/>
          <w:sz w:val="22"/>
          <w:szCs w:val="22"/>
          <w:lang w:val="en-GB"/>
        </w:rPr>
        <w:t xml:space="preserve"> report.</w:t>
      </w:r>
      <w:r w:rsidR="00481BC9" w:rsidRPr="000F4D72">
        <w:rPr>
          <w:rStyle w:val="Strong"/>
          <w:b w:val="0"/>
          <w:bCs/>
          <w:sz w:val="22"/>
          <w:szCs w:val="22"/>
          <w:lang w:val="en-GB"/>
        </w:rPr>
        <w:t xml:space="preserve"> </w:t>
      </w:r>
    </w:p>
    <w:p w14:paraId="4C22836C" w14:textId="154EF878" w:rsidR="00481BC9" w:rsidRDefault="00733133" w:rsidP="00481BC9">
      <w:pPr>
        <w:jc w:val="both"/>
        <w:rPr>
          <w:b/>
          <w:sz w:val="22"/>
          <w:szCs w:val="22"/>
          <w:u w:val="single"/>
          <w:lang w:val="en-GB"/>
        </w:rPr>
      </w:pPr>
      <w:r>
        <w:rPr>
          <w:b/>
          <w:sz w:val="22"/>
          <w:szCs w:val="22"/>
          <w:u w:val="single"/>
          <w:lang w:val="en-GB"/>
        </w:rPr>
        <w:t>T</w:t>
      </w:r>
      <w:r w:rsidR="00481BC9" w:rsidRPr="00481BC9">
        <w:rPr>
          <w:b/>
          <w:sz w:val="22"/>
          <w:szCs w:val="22"/>
          <w:u w:val="single"/>
          <w:lang w:val="en-GB"/>
        </w:rPr>
        <w:t xml:space="preserve">he above </w:t>
      </w:r>
      <w:r w:rsidRPr="00733133">
        <w:rPr>
          <w:b/>
          <w:sz w:val="22"/>
          <w:szCs w:val="22"/>
          <w:u w:val="single"/>
          <w:lang w:val="en-GB"/>
        </w:rPr>
        <w:t xml:space="preserve">irregularities </w:t>
      </w:r>
      <w:r w:rsidR="00481BC9" w:rsidRPr="00481BC9">
        <w:rPr>
          <w:b/>
          <w:sz w:val="22"/>
          <w:szCs w:val="22"/>
          <w:u w:val="single"/>
          <w:lang w:val="en-GB"/>
        </w:rPr>
        <w:t>require the procedure to be</w:t>
      </w:r>
      <w:r w:rsidR="00481BC9" w:rsidRPr="00481BC9">
        <w:rPr>
          <w:b/>
          <w:sz w:val="22"/>
          <w:szCs w:val="22"/>
          <w:u w:val="single"/>
          <w:lang w:val="en-GB"/>
        </w:rPr>
        <w:t xml:space="preserve"> cancelled</w:t>
      </w:r>
      <w:r>
        <w:rPr>
          <w:b/>
          <w:sz w:val="22"/>
          <w:szCs w:val="22"/>
          <w:u w:val="single"/>
          <w:lang w:val="en-GB"/>
        </w:rPr>
        <w:t xml:space="preserve"> and re-launched</w:t>
      </w:r>
      <w:r w:rsidR="00481BC9" w:rsidRPr="00481BC9">
        <w:rPr>
          <w:b/>
          <w:sz w:val="22"/>
          <w:szCs w:val="22"/>
          <w:u w:val="single"/>
          <w:lang w:val="en-GB"/>
        </w:rPr>
        <w:t>.</w:t>
      </w:r>
    </w:p>
    <w:p w14:paraId="13670CB4" w14:textId="329CAD31" w:rsidR="00D4146A" w:rsidRPr="00507666" w:rsidRDefault="00D4146A" w:rsidP="00D4146A">
      <w:pPr>
        <w:jc w:val="both"/>
        <w:rPr>
          <w:rStyle w:val="Strong"/>
          <w:bCs/>
          <w:i/>
          <w:iCs/>
          <w:sz w:val="22"/>
          <w:szCs w:val="22"/>
          <w:u w:val="single"/>
          <w:lang w:val="en-GB"/>
        </w:rPr>
      </w:pPr>
      <w:r w:rsidRPr="00507666">
        <w:rPr>
          <w:bCs/>
          <w:sz w:val="22"/>
          <w:szCs w:val="22"/>
          <w:lang w:val="en-GB"/>
        </w:rPr>
        <w:t xml:space="preserve">This cancelation notice is published </w:t>
      </w:r>
      <w:proofErr w:type="gramStart"/>
      <w:r w:rsidRPr="00507666">
        <w:rPr>
          <w:bCs/>
          <w:sz w:val="22"/>
          <w:szCs w:val="22"/>
          <w:lang w:val="en-GB"/>
        </w:rPr>
        <w:t>on the basis of</w:t>
      </w:r>
      <w:proofErr w:type="gramEnd"/>
      <w:r w:rsidRPr="00507666">
        <w:rPr>
          <w:bCs/>
          <w:sz w:val="22"/>
          <w:szCs w:val="22"/>
          <w:lang w:val="en-GB"/>
        </w:rPr>
        <w:t xml:space="preserve"> point 4.3.10 and point </w:t>
      </w:r>
      <w:r w:rsidRPr="00507666">
        <w:rPr>
          <w:bCs/>
          <w:sz w:val="22"/>
          <w:szCs w:val="22"/>
          <w:lang w:val="en-GB"/>
        </w:rPr>
        <w:t xml:space="preserve">2.6.13. </w:t>
      </w:r>
      <w:r w:rsidRPr="00507666">
        <w:rPr>
          <w:bCs/>
          <w:i/>
          <w:iCs/>
          <w:sz w:val="22"/>
          <w:szCs w:val="22"/>
          <w:lang w:val="en-GB"/>
        </w:rPr>
        <w:t>Cancellation of procurement procedures</w:t>
      </w:r>
      <w:r w:rsidRPr="00507666">
        <w:rPr>
          <w:bCs/>
          <w:i/>
          <w:iCs/>
          <w:sz w:val="22"/>
          <w:szCs w:val="22"/>
          <w:lang w:val="en-GB"/>
        </w:rPr>
        <w:t xml:space="preserve">, </w:t>
      </w:r>
      <w:r w:rsidRPr="00507666">
        <w:rPr>
          <w:bCs/>
          <w:sz w:val="22"/>
          <w:szCs w:val="22"/>
          <w:lang w:val="en-GB"/>
        </w:rPr>
        <w:t xml:space="preserve">where it is stated that </w:t>
      </w:r>
      <w:r w:rsidRPr="00507666">
        <w:rPr>
          <w:bCs/>
          <w:i/>
          <w:iCs/>
          <w:sz w:val="22"/>
          <w:szCs w:val="22"/>
          <w:u w:val="single"/>
          <w:lang w:val="en-GB"/>
        </w:rPr>
        <w:t>“</w:t>
      </w:r>
      <w:r w:rsidRPr="00507666">
        <w:rPr>
          <w:b/>
          <w:i/>
          <w:iCs/>
          <w:sz w:val="22"/>
          <w:szCs w:val="22"/>
          <w:u w:val="single"/>
          <w:lang w:val="en-GB"/>
        </w:rPr>
        <w:t>Cancellation of the procedure can take place up</w:t>
      </w:r>
      <w:r w:rsidRPr="00507666">
        <w:rPr>
          <w:b/>
          <w:i/>
          <w:iCs/>
          <w:sz w:val="22"/>
          <w:szCs w:val="22"/>
          <w:u w:val="single"/>
          <w:lang w:val="en-GB"/>
        </w:rPr>
        <w:t xml:space="preserve"> </w:t>
      </w:r>
      <w:r w:rsidRPr="00D4146A">
        <w:rPr>
          <w:b/>
          <w:i/>
          <w:iCs/>
          <w:sz w:val="22"/>
          <w:szCs w:val="22"/>
          <w:u w:val="single"/>
          <w:lang w:val="en-GB"/>
        </w:rPr>
        <w:t>until signature of the contract (Art. 171 FR).</w:t>
      </w:r>
      <w:r w:rsidRPr="00D4146A">
        <w:rPr>
          <w:bCs/>
          <w:i/>
          <w:iCs/>
          <w:sz w:val="22"/>
          <w:szCs w:val="22"/>
          <w:u w:val="single"/>
          <w:lang w:val="en-GB"/>
        </w:rPr>
        <w:t xml:space="preserve"> Candidates or tenderers must always be informed as</w:t>
      </w:r>
      <w:r w:rsidRPr="00507666">
        <w:rPr>
          <w:bCs/>
          <w:i/>
          <w:iCs/>
          <w:sz w:val="22"/>
          <w:szCs w:val="22"/>
          <w:u w:val="single"/>
          <w:lang w:val="en-GB"/>
        </w:rPr>
        <w:t xml:space="preserve"> </w:t>
      </w:r>
      <w:r w:rsidRPr="00507666">
        <w:rPr>
          <w:bCs/>
          <w:i/>
          <w:iCs/>
          <w:sz w:val="22"/>
          <w:szCs w:val="22"/>
          <w:u w:val="single"/>
          <w:lang w:val="en-GB"/>
        </w:rPr>
        <w:t>soon as possible if it is decided, in the course of the procedure, to cancel it.</w:t>
      </w:r>
      <w:r w:rsidRPr="00507666">
        <w:rPr>
          <w:bCs/>
          <w:i/>
          <w:iCs/>
          <w:sz w:val="22"/>
          <w:szCs w:val="22"/>
          <w:u w:val="single"/>
          <w:lang w:val="en-GB"/>
        </w:rPr>
        <w:t>”</w:t>
      </w:r>
    </w:p>
    <w:p w14:paraId="3FC69E47" w14:textId="665DC1FA" w:rsidR="00926E61" w:rsidRPr="00481BC9" w:rsidRDefault="00581ACC" w:rsidP="00926E61">
      <w:pPr>
        <w:jc w:val="both"/>
        <w:rPr>
          <w:rStyle w:val="Strong"/>
          <w:sz w:val="22"/>
          <w:szCs w:val="22"/>
          <w:u w:val="single"/>
          <w:lang w:val="en-GB"/>
        </w:rPr>
      </w:pPr>
      <w:r w:rsidRPr="00507666">
        <w:rPr>
          <w:rStyle w:val="Strong"/>
          <w:sz w:val="22"/>
          <w:szCs w:val="22"/>
          <w:u w:val="single"/>
          <w:lang w:val="en-GB"/>
        </w:rPr>
        <w:br/>
      </w:r>
      <w:r w:rsidR="00926E61" w:rsidRPr="00481BC9">
        <w:rPr>
          <w:rStyle w:val="Strong"/>
          <w:sz w:val="22"/>
          <w:szCs w:val="22"/>
          <w:u w:val="single"/>
          <w:lang w:val="en-GB"/>
        </w:rPr>
        <w:t>VI.3) Additional information:</w:t>
      </w:r>
    </w:p>
    <w:p w14:paraId="41B2CE0E" w14:textId="77777777" w:rsidR="00B448FA" w:rsidRPr="00481BC9" w:rsidRDefault="00B448FA" w:rsidP="00926E61">
      <w:pPr>
        <w:jc w:val="both"/>
        <w:rPr>
          <w:sz w:val="22"/>
          <w:szCs w:val="22"/>
          <w:lang w:val="en-GB"/>
        </w:rPr>
      </w:pPr>
      <w:r w:rsidRPr="00481BC9">
        <w:rPr>
          <w:sz w:val="22"/>
          <w:szCs w:val="22"/>
          <w:lang w:val="en-GB"/>
        </w:rPr>
        <w:t xml:space="preserve">Should a new tender procedure be launched for this project, a new </w:t>
      </w:r>
      <w:r w:rsidR="00062477" w:rsidRPr="00481BC9">
        <w:rPr>
          <w:sz w:val="22"/>
          <w:szCs w:val="22"/>
          <w:lang w:val="en-GB"/>
        </w:rPr>
        <w:t xml:space="preserve">contract </w:t>
      </w:r>
      <w:r w:rsidRPr="00481BC9">
        <w:rPr>
          <w:sz w:val="22"/>
          <w:szCs w:val="22"/>
          <w:lang w:val="en-GB"/>
        </w:rPr>
        <w:t>notice will be published</w:t>
      </w:r>
      <w:r w:rsidR="003E07F2" w:rsidRPr="00481BC9">
        <w:rPr>
          <w:sz w:val="22"/>
          <w:szCs w:val="22"/>
          <w:lang w:val="en-GB"/>
        </w:rPr>
        <w:t xml:space="preserve">, unless the </w:t>
      </w:r>
      <w:r w:rsidR="003C509E" w:rsidRPr="00481BC9">
        <w:rPr>
          <w:sz w:val="22"/>
          <w:szCs w:val="22"/>
          <w:lang w:val="en-GB"/>
        </w:rPr>
        <w:t>contracting</w:t>
      </w:r>
      <w:r w:rsidR="00A546F6" w:rsidRPr="00481BC9">
        <w:rPr>
          <w:sz w:val="22"/>
          <w:szCs w:val="22"/>
          <w:lang w:val="en-GB"/>
        </w:rPr>
        <w:t xml:space="preserve"> </w:t>
      </w:r>
      <w:r w:rsidR="003C509E" w:rsidRPr="00481BC9">
        <w:rPr>
          <w:sz w:val="22"/>
          <w:szCs w:val="22"/>
          <w:lang w:val="en-GB"/>
        </w:rPr>
        <w:t>a</w:t>
      </w:r>
      <w:r w:rsidR="003E07F2" w:rsidRPr="00481BC9">
        <w:rPr>
          <w:sz w:val="22"/>
          <w:szCs w:val="22"/>
          <w:lang w:val="en-GB"/>
        </w:rPr>
        <w:t>uthority awards the contract through a negotiated procedure – in which case only the award of the contract will be published</w:t>
      </w:r>
      <w:r w:rsidRPr="00481BC9">
        <w:rPr>
          <w:sz w:val="22"/>
          <w:szCs w:val="22"/>
          <w:lang w:val="en-GB"/>
        </w:rPr>
        <w:t>.</w:t>
      </w:r>
    </w:p>
    <w:p w14:paraId="0397B4C6" w14:textId="092FDE00" w:rsidR="00B448FA" w:rsidRPr="00481BC9" w:rsidRDefault="00B448FA">
      <w:pPr>
        <w:jc w:val="both"/>
        <w:rPr>
          <w:sz w:val="22"/>
          <w:szCs w:val="22"/>
          <w:lang w:val="en-GB"/>
        </w:rPr>
      </w:pPr>
    </w:p>
    <w:sectPr w:rsidR="00B448FA" w:rsidRPr="00481BC9" w:rsidSect="009B6A1C">
      <w:headerReference w:type="default" r:id="rId8"/>
      <w:footerReference w:type="default" r:id="rId9"/>
      <w:pgSz w:w="12240" w:h="15840"/>
      <w:pgMar w:top="1097" w:right="1440" w:bottom="1440" w:left="1440" w:header="709" w:footer="5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D6E7" w14:textId="77777777" w:rsidR="0022230B" w:rsidRDefault="0022230B">
      <w:r>
        <w:separator/>
      </w:r>
    </w:p>
  </w:endnote>
  <w:endnote w:type="continuationSeparator" w:id="0">
    <w:p w14:paraId="40F819C5" w14:textId="77777777" w:rsidR="0022230B" w:rsidRDefault="0022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53E" w14:textId="77777777" w:rsidR="00727CEE" w:rsidRDefault="006E7086" w:rsidP="00727CEE">
    <w:pPr>
      <w:pStyle w:val="Footer"/>
      <w:tabs>
        <w:tab w:val="right" w:pos="14040"/>
      </w:tabs>
      <w:rPr>
        <w:szCs w:val="18"/>
      </w:rPr>
    </w:pPr>
    <w:r>
      <w:rPr>
        <w:b/>
        <w:sz w:val="18"/>
        <w:szCs w:val="18"/>
        <w:lang w:val="en-GB"/>
      </w:rPr>
      <w:t>A</w:t>
    </w:r>
    <w:r w:rsidR="000F095A">
      <w:rPr>
        <w:b/>
        <w:sz w:val="18"/>
        <w:szCs w:val="18"/>
        <w:lang w:val="en-GB"/>
      </w:rPr>
      <w:t>ugust</w:t>
    </w:r>
    <w:r w:rsidR="0009300B">
      <w:rPr>
        <w:b/>
        <w:sz w:val="18"/>
        <w:szCs w:val="18"/>
        <w:lang w:val="en-GB"/>
      </w:rPr>
      <w:t xml:space="preserve"> 2020</w:t>
    </w:r>
  </w:p>
  <w:p w14:paraId="621B576D" w14:textId="77777777" w:rsidR="009B6A1C" w:rsidRPr="009B6A1C" w:rsidRDefault="009B6A1C" w:rsidP="009B6A1C">
    <w:pPr>
      <w:pStyle w:val="Footer"/>
      <w:spacing w:before="0" w:after="0"/>
      <w:rPr>
        <w:sz w:val="18"/>
        <w:szCs w:val="18"/>
        <w:lang w:val="en-GB"/>
      </w:rPr>
    </w:pPr>
    <w:r w:rsidRPr="009B6A1C">
      <w:rPr>
        <w:sz w:val="18"/>
        <w:szCs w:val="18"/>
        <w:lang w:val="it-IT"/>
      </w:rPr>
      <w:fldChar w:fldCharType="begin"/>
    </w:r>
    <w:r w:rsidRPr="009B6A1C">
      <w:rPr>
        <w:sz w:val="18"/>
        <w:szCs w:val="18"/>
        <w:lang w:val="en-GB"/>
      </w:rPr>
      <w:instrText xml:space="preserve"> FILENAME   \* MERGEFORMAT </w:instrText>
    </w:r>
    <w:r w:rsidRPr="009B6A1C">
      <w:rPr>
        <w:sz w:val="18"/>
        <w:szCs w:val="18"/>
        <w:lang w:val="it-IT"/>
      </w:rPr>
      <w:fldChar w:fldCharType="separate"/>
    </w:r>
    <w:r w:rsidR="000F095A">
      <w:rPr>
        <w:noProof/>
        <w:sz w:val="18"/>
        <w:szCs w:val="18"/>
        <w:lang w:val="en-GB"/>
      </w:rPr>
      <w:t>a5a_cancnotice_enotices_en</w:t>
    </w:r>
    <w:r w:rsidR="001327A2">
      <w:rPr>
        <w:noProof/>
        <w:sz w:val="18"/>
        <w:szCs w:val="18"/>
        <w:lang w:val="en-GB"/>
      </w:rPr>
      <w:t>.doc</w:t>
    </w:r>
    <w:r w:rsidRPr="009B6A1C">
      <w:rPr>
        <w:sz w:val="18"/>
        <w:szCs w:val="18"/>
        <w:lang w:val="it-IT"/>
      </w:rPr>
      <w:fldChar w:fldCharType="end"/>
    </w:r>
    <w:r w:rsidR="00703FC4" w:rsidRPr="008E08CB">
      <w:rPr>
        <w:sz w:val="18"/>
        <w:szCs w:val="18"/>
      </w:rPr>
      <w:t>x</w:t>
    </w:r>
    <w:r w:rsidRPr="009B6A1C">
      <w:rPr>
        <w:sz w:val="18"/>
        <w:szCs w:val="18"/>
        <w:lang w:val="en-GB"/>
      </w:rPr>
      <w:tab/>
    </w:r>
    <w:r w:rsidRPr="009B6A1C">
      <w:rPr>
        <w:sz w:val="18"/>
        <w:szCs w:val="18"/>
        <w:lang w:val="en-GB"/>
      </w:rPr>
      <w:tab/>
      <w:t xml:space="preserve">Page </w:t>
    </w:r>
    <w:r w:rsidRPr="009B6A1C">
      <w:rPr>
        <w:sz w:val="18"/>
        <w:szCs w:val="18"/>
        <w:lang w:val="it-IT"/>
      </w:rPr>
      <w:fldChar w:fldCharType="begin"/>
    </w:r>
    <w:r w:rsidRPr="009B6A1C">
      <w:rPr>
        <w:sz w:val="18"/>
        <w:szCs w:val="18"/>
        <w:lang w:val="en-GB"/>
      </w:rPr>
      <w:instrText xml:space="preserve"> PAGE   \* MERGEFORMAT </w:instrText>
    </w:r>
    <w:r w:rsidRPr="009B6A1C">
      <w:rPr>
        <w:sz w:val="18"/>
        <w:szCs w:val="18"/>
        <w:lang w:val="it-IT"/>
      </w:rPr>
      <w:fldChar w:fldCharType="separate"/>
    </w:r>
    <w:r w:rsidR="000F095A">
      <w:rPr>
        <w:noProof/>
        <w:sz w:val="18"/>
        <w:szCs w:val="18"/>
        <w:lang w:val="en-GB"/>
      </w:rPr>
      <w:t>1</w:t>
    </w:r>
    <w:r w:rsidRPr="009B6A1C">
      <w:rPr>
        <w:noProof/>
        <w:sz w:val="18"/>
        <w:szCs w:val="18"/>
        <w:lang w:val="it-IT"/>
      </w:rPr>
      <w:fldChar w:fldCharType="end"/>
    </w:r>
    <w:r w:rsidRPr="009B6A1C">
      <w:rPr>
        <w:noProof/>
        <w:sz w:val="18"/>
        <w:szCs w:val="18"/>
        <w:lang w:val="en-GB"/>
      </w:rPr>
      <w:t xml:space="preserve"> of </w:t>
    </w:r>
    <w:r w:rsidRPr="009B6A1C">
      <w:rPr>
        <w:noProof/>
        <w:sz w:val="18"/>
        <w:szCs w:val="18"/>
        <w:lang w:val="it-IT"/>
      </w:rPr>
      <w:fldChar w:fldCharType="begin"/>
    </w:r>
    <w:r w:rsidRPr="009B6A1C">
      <w:rPr>
        <w:noProof/>
        <w:sz w:val="18"/>
        <w:szCs w:val="18"/>
        <w:lang w:val="en-GB"/>
      </w:rPr>
      <w:instrText xml:space="preserve"> NUMPAGES   \* MERGEFORMAT </w:instrText>
    </w:r>
    <w:r w:rsidRPr="009B6A1C">
      <w:rPr>
        <w:noProof/>
        <w:sz w:val="18"/>
        <w:szCs w:val="18"/>
        <w:lang w:val="it-IT"/>
      </w:rPr>
      <w:fldChar w:fldCharType="separate"/>
    </w:r>
    <w:r w:rsidR="000F095A">
      <w:rPr>
        <w:noProof/>
        <w:sz w:val="18"/>
        <w:szCs w:val="18"/>
        <w:lang w:val="en-GB"/>
      </w:rPr>
      <w:t>1</w:t>
    </w:r>
    <w:r w:rsidRPr="009B6A1C">
      <w:rPr>
        <w:noProof/>
        <w:sz w:val="18"/>
        <w:szCs w:val="18"/>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4916" w14:textId="77777777" w:rsidR="0022230B" w:rsidRDefault="0022230B">
      <w:r>
        <w:separator/>
      </w:r>
    </w:p>
  </w:footnote>
  <w:footnote w:type="continuationSeparator" w:id="0">
    <w:p w14:paraId="76D22B13" w14:textId="77777777" w:rsidR="0022230B" w:rsidRDefault="00222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9CB6" w14:textId="77777777" w:rsidR="00C81557" w:rsidRPr="00C81557" w:rsidRDefault="00C81557" w:rsidP="00C81557">
    <w:pPr>
      <w:jc w:val="right"/>
      <w:rPr>
        <w:b/>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74EA2"/>
    <w:rsid w:val="0001248B"/>
    <w:rsid w:val="00015999"/>
    <w:rsid w:val="000228BD"/>
    <w:rsid w:val="00034ED7"/>
    <w:rsid w:val="000553B0"/>
    <w:rsid w:val="00062477"/>
    <w:rsid w:val="00067017"/>
    <w:rsid w:val="000707FA"/>
    <w:rsid w:val="0009300B"/>
    <w:rsid w:val="000936E8"/>
    <w:rsid w:val="000D5763"/>
    <w:rsid w:val="000F095A"/>
    <w:rsid w:val="000F4D72"/>
    <w:rsid w:val="000F6A13"/>
    <w:rsid w:val="001029D9"/>
    <w:rsid w:val="001115FA"/>
    <w:rsid w:val="00122136"/>
    <w:rsid w:val="001327A2"/>
    <w:rsid w:val="001B4753"/>
    <w:rsid w:val="001B57C6"/>
    <w:rsid w:val="001E0E68"/>
    <w:rsid w:val="002047DF"/>
    <w:rsid w:val="00210CA6"/>
    <w:rsid w:val="002206AD"/>
    <w:rsid w:val="0022230B"/>
    <w:rsid w:val="00242259"/>
    <w:rsid w:val="00246EF2"/>
    <w:rsid w:val="0027149B"/>
    <w:rsid w:val="00297327"/>
    <w:rsid w:val="002B4E67"/>
    <w:rsid w:val="002C226A"/>
    <w:rsid w:val="003101B4"/>
    <w:rsid w:val="00333F4F"/>
    <w:rsid w:val="00334B6A"/>
    <w:rsid w:val="00340A50"/>
    <w:rsid w:val="00360EDD"/>
    <w:rsid w:val="00363F75"/>
    <w:rsid w:val="00386ABC"/>
    <w:rsid w:val="003950EB"/>
    <w:rsid w:val="00396D53"/>
    <w:rsid w:val="003A0345"/>
    <w:rsid w:val="003C4856"/>
    <w:rsid w:val="003C509E"/>
    <w:rsid w:val="003E07F2"/>
    <w:rsid w:val="003E6A35"/>
    <w:rsid w:val="003E74DC"/>
    <w:rsid w:val="00422600"/>
    <w:rsid w:val="00427B34"/>
    <w:rsid w:val="004361B8"/>
    <w:rsid w:val="004376D5"/>
    <w:rsid w:val="004617E5"/>
    <w:rsid w:val="00481BC9"/>
    <w:rsid w:val="00496969"/>
    <w:rsid w:val="004B614B"/>
    <w:rsid w:val="004C01BA"/>
    <w:rsid w:val="004E3FED"/>
    <w:rsid w:val="00507666"/>
    <w:rsid w:val="00507E67"/>
    <w:rsid w:val="005124A6"/>
    <w:rsid w:val="00512E2B"/>
    <w:rsid w:val="00513F4E"/>
    <w:rsid w:val="00556E73"/>
    <w:rsid w:val="00557353"/>
    <w:rsid w:val="00567F9C"/>
    <w:rsid w:val="00570FBE"/>
    <w:rsid w:val="00581ACC"/>
    <w:rsid w:val="0059078D"/>
    <w:rsid w:val="00591F79"/>
    <w:rsid w:val="00592E8C"/>
    <w:rsid w:val="00594A62"/>
    <w:rsid w:val="005A078A"/>
    <w:rsid w:val="005D2810"/>
    <w:rsid w:val="00654160"/>
    <w:rsid w:val="00664635"/>
    <w:rsid w:val="006675B9"/>
    <w:rsid w:val="006A1E7B"/>
    <w:rsid w:val="006E2196"/>
    <w:rsid w:val="006E4475"/>
    <w:rsid w:val="006E7086"/>
    <w:rsid w:val="006F2C67"/>
    <w:rsid w:val="00703FC4"/>
    <w:rsid w:val="00711B30"/>
    <w:rsid w:val="00727CEE"/>
    <w:rsid w:val="00733133"/>
    <w:rsid w:val="0078198F"/>
    <w:rsid w:val="00797F1E"/>
    <w:rsid w:val="007A6D28"/>
    <w:rsid w:val="007D6989"/>
    <w:rsid w:val="007E276E"/>
    <w:rsid w:val="007F5CFD"/>
    <w:rsid w:val="00814656"/>
    <w:rsid w:val="00833E05"/>
    <w:rsid w:val="00862D26"/>
    <w:rsid w:val="00874EA2"/>
    <w:rsid w:val="008943D0"/>
    <w:rsid w:val="008979F5"/>
    <w:rsid w:val="008A0C10"/>
    <w:rsid w:val="008A3F4C"/>
    <w:rsid w:val="008D180E"/>
    <w:rsid w:val="008D4705"/>
    <w:rsid w:val="008E08CB"/>
    <w:rsid w:val="00926E61"/>
    <w:rsid w:val="00930C06"/>
    <w:rsid w:val="0093664B"/>
    <w:rsid w:val="00981097"/>
    <w:rsid w:val="00984CC9"/>
    <w:rsid w:val="00987DE6"/>
    <w:rsid w:val="00993F23"/>
    <w:rsid w:val="009A115A"/>
    <w:rsid w:val="009A4E17"/>
    <w:rsid w:val="009A5A7F"/>
    <w:rsid w:val="009B5671"/>
    <w:rsid w:val="009B5E88"/>
    <w:rsid w:val="009B6A1C"/>
    <w:rsid w:val="009D6E0C"/>
    <w:rsid w:val="009E74DB"/>
    <w:rsid w:val="00A05031"/>
    <w:rsid w:val="00A11101"/>
    <w:rsid w:val="00A546F6"/>
    <w:rsid w:val="00A62639"/>
    <w:rsid w:val="00A66BAC"/>
    <w:rsid w:val="00A67484"/>
    <w:rsid w:val="00A705B8"/>
    <w:rsid w:val="00A75B38"/>
    <w:rsid w:val="00A80880"/>
    <w:rsid w:val="00A827EA"/>
    <w:rsid w:val="00A84FF9"/>
    <w:rsid w:val="00A87F93"/>
    <w:rsid w:val="00AA720E"/>
    <w:rsid w:val="00AB418B"/>
    <w:rsid w:val="00AD00EC"/>
    <w:rsid w:val="00AE62B2"/>
    <w:rsid w:val="00AF14AA"/>
    <w:rsid w:val="00AF3706"/>
    <w:rsid w:val="00B070E3"/>
    <w:rsid w:val="00B07E4D"/>
    <w:rsid w:val="00B242CE"/>
    <w:rsid w:val="00B24D0F"/>
    <w:rsid w:val="00B33D8A"/>
    <w:rsid w:val="00B36F33"/>
    <w:rsid w:val="00B41E24"/>
    <w:rsid w:val="00B448FA"/>
    <w:rsid w:val="00B700C0"/>
    <w:rsid w:val="00B74155"/>
    <w:rsid w:val="00B76B0A"/>
    <w:rsid w:val="00B92470"/>
    <w:rsid w:val="00BB15E0"/>
    <w:rsid w:val="00BC091D"/>
    <w:rsid w:val="00BC142D"/>
    <w:rsid w:val="00BE0C5D"/>
    <w:rsid w:val="00BE7B32"/>
    <w:rsid w:val="00BF094D"/>
    <w:rsid w:val="00C00E4B"/>
    <w:rsid w:val="00C81557"/>
    <w:rsid w:val="00CB4A89"/>
    <w:rsid w:val="00CE2C73"/>
    <w:rsid w:val="00D035B7"/>
    <w:rsid w:val="00D1599D"/>
    <w:rsid w:val="00D4146A"/>
    <w:rsid w:val="00D72C33"/>
    <w:rsid w:val="00D74C7D"/>
    <w:rsid w:val="00DA14E1"/>
    <w:rsid w:val="00DB103E"/>
    <w:rsid w:val="00DC2C99"/>
    <w:rsid w:val="00DC4D5F"/>
    <w:rsid w:val="00DD00B3"/>
    <w:rsid w:val="00DE79B7"/>
    <w:rsid w:val="00DF020D"/>
    <w:rsid w:val="00DF07F0"/>
    <w:rsid w:val="00E011CF"/>
    <w:rsid w:val="00E07673"/>
    <w:rsid w:val="00E175B9"/>
    <w:rsid w:val="00E40CD1"/>
    <w:rsid w:val="00E51D25"/>
    <w:rsid w:val="00E5722A"/>
    <w:rsid w:val="00E630EA"/>
    <w:rsid w:val="00E759C5"/>
    <w:rsid w:val="00E975EC"/>
    <w:rsid w:val="00EA31FD"/>
    <w:rsid w:val="00EB21CA"/>
    <w:rsid w:val="00EC0328"/>
    <w:rsid w:val="00EC15D8"/>
    <w:rsid w:val="00EC6ED8"/>
    <w:rsid w:val="00EF431F"/>
    <w:rsid w:val="00F06429"/>
    <w:rsid w:val="00F213C9"/>
    <w:rsid w:val="00F25208"/>
    <w:rsid w:val="00F34282"/>
    <w:rsid w:val="00F568CA"/>
    <w:rsid w:val="00FA382A"/>
    <w:rsid w:val="00FA3AB8"/>
    <w:rsid w:val="00FF0E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DFFFD"/>
  <w15:chartTrackingRefBased/>
  <w15:docId w15:val="{9CB3F7D1-0D9B-4121-B705-AD5BAE2C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3101B4"/>
    <w:pPr>
      <w:tabs>
        <w:tab w:val="center" w:pos="4536"/>
        <w:tab w:val="right" w:pos="9072"/>
      </w:tabs>
    </w:pPr>
  </w:style>
  <w:style w:type="paragraph" w:styleId="Footer">
    <w:name w:val="footer"/>
    <w:basedOn w:val="Normal"/>
    <w:link w:val="FooterChar"/>
    <w:rsid w:val="003101B4"/>
    <w:pPr>
      <w:tabs>
        <w:tab w:val="center" w:pos="4536"/>
        <w:tab w:val="right" w:pos="9072"/>
      </w:tabs>
    </w:pPr>
  </w:style>
  <w:style w:type="character" w:styleId="PageNumber">
    <w:name w:val="page number"/>
    <w:basedOn w:val="DefaultParagraphFont"/>
    <w:rsid w:val="006A1E7B"/>
  </w:style>
  <w:style w:type="paragraph" w:styleId="BalloonText">
    <w:name w:val="Balloon Text"/>
    <w:basedOn w:val="Normal"/>
    <w:semiHidden/>
    <w:rsid w:val="009A5A7F"/>
    <w:rPr>
      <w:rFonts w:ascii="Tahoma" w:hAnsi="Tahoma" w:cs="Tahoma"/>
      <w:sz w:val="16"/>
      <w:szCs w:val="16"/>
    </w:rPr>
  </w:style>
  <w:style w:type="paragraph" w:styleId="FootnoteText">
    <w:name w:val="footnote text"/>
    <w:basedOn w:val="Normal"/>
    <w:link w:val="FootnoteTextChar"/>
    <w:rsid w:val="00512E2B"/>
    <w:rPr>
      <w:sz w:val="20"/>
    </w:rPr>
  </w:style>
  <w:style w:type="character" w:customStyle="1" w:styleId="FootnoteTextChar">
    <w:name w:val="Footnote Text Char"/>
    <w:link w:val="FootnoteText"/>
    <w:rsid w:val="00512E2B"/>
    <w:rPr>
      <w:snapToGrid w:val="0"/>
      <w:lang w:val="en-US" w:eastAsia="en-US"/>
    </w:rPr>
  </w:style>
  <w:style w:type="character" w:styleId="FootnoteReference">
    <w:name w:val="footnote reference"/>
    <w:rsid w:val="00512E2B"/>
    <w:rPr>
      <w:vertAlign w:val="superscript"/>
    </w:rPr>
  </w:style>
  <w:style w:type="character" w:styleId="CommentReference">
    <w:name w:val="annotation reference"/>
    <w:rsid w:val="003E07F2"/>
    <w:rPr>
      <w:sz w:val="16"/>
      <w:szCs w:val="16"/>
    </w:rPr>
  </w:style>
  <w:style w:type="paragraph" w:styleId="CommentText">
    <w:name w:val="annotation text"/>
    <w:basedOn w:val="Normal"/>
    <w:link w:val="CommentTextChar"/>
    <w:rsid w:val="003E07F2"/>
    <w:rPr>
      <w:sz w:val="20"/>
    </w:rPr>
  </w:style>
  <w:style w:type="character" w:customStyle="1" w:styleId="CommentTextChar">
    <w:name w:val="Comment Text Char"/>
    <w:link w:val="CommentText"/>
    <w:rsid w:val="003E07F2"/>
    <w:rPr>
      <w:snapToGrid w:val="0"/>
      <w:lang w:val="en-US" w:eastAsia="en-US"/>
    </w:rPr>
  </w:style>
  <w:style w:type="paragraph" w:styleId="CommentSubject">
    <w:name w:val="annotation subject"/>
    <w:basedOn w:val="CommentText"/>
    <w:next w:val="CommentText"/>
    <w:link w:val="CommentSubjectChar"/>
    <w:rsid w:val="003E07F2"/>
    <w:rPr>
      <w:b/>
      <w:bCs/>
    </w:rPr>
  </w:style>
  <w:style w:type="character" w:customStyle="1" w:styleId="CommentSubjectChar">
    <w:name w:val="Comment Subject Char"/>
    <w:link w:val="CommentSubject"/>
    <w:rsid w:val="003E07F2"/>
    <w:rPr>
      <w:b/>
      <w:bCs/>
      <w:snapToGrid w:val="0"/>
      <w:lang w:val="en-US" w:eastAsia="en-US"/>
    </w:rPr>
  </w:style>
  <w:style w:type="character" w:customStyle="1" w:styleId="FooterChar">
    <w:name w:val="Footer Char"/>
    <w:link w:val="Footer"/>
    <w:rsid w:val="009B6A1C"/>
    <w:rPr>
      <w:snapToGrid w:val="0"/>
      <w:sz w:val="24"/>
      <w:lang w:val="en-US" w:eastAsia="en-US"/>
    </w:rPr>
  </w:style>
  <w:style w:type="paragraph" w:styleId="Subtitle">
    <w:name w:val="Subtitle"/>
    <w:basedOn w:val="Normal"/>
    <w:link w:val="SubtitleChar"/>
    <w:qFormat/>
    <w:rsid w:val="00EC6ED8"/>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C6ED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5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63CD-F9B6-4394-B008-6FF12362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A5 cancellation</vt:lpstr>
    </vt:vector>
  </TitlesOfParts>
  <Company>European Commission</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cancellation</dc:title>
  <dc:subject/>
  <dc:creator>chattob</dc:creator>
  <cp:keywords/>
  <cp:lastModifiedBy>Ники-Кайо</cp:lastModifiedBy>
  <cp:revision>36</cp:revision>
  <cp:lastPrinted>2013-12-16T10:49:00Z</cp:lastPrinted>
  <dcterms:created xsi:type="dcterms:W3CDTF">2021-08-03T14:07:00Z</dcterms:created>
  <dcterms:modified xsi:type="dcterms:W3CDTF">2021-08-03T16:08:00Z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