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00" w:after="100"/>
        <w:jc w:val="center"/>
        <w:rPr>
          <w:sz w:val="22"/>
          <w:sz w:val="22"/>
          <w:szCs w:val="22"/>
        </w:rPr>
      </w:pPr>
      <w:r>
        <w:rPr>
          <w:sz w:val="22"/>
          <w:szCs w:val="22"/>
          <w:lang w:val="en-US" w:eastAsia="en-US"/>
        </w:rPr>
      </w:r>
      <w:r/>
    </w:p>
    <w:p>
      <w:pPr>
        <w:pStyle w:val="Normal"/>
        <w:jc w:val="center"/>
        <w:rPr>
          <w:sz w:val="28"/>
          <w:b/>
          <w:sz w:val="28"/>
          <w:b/>
          <w:szCs w:val="28"/>
        </w:rPr>
      </w:pPr>
      <w:r>
        <w:rPr>
          <w:b/>
          <w:sz w:val="28"/>
          <w:szCs w:val="28"/>
        </w:rPr>
        <w:t>SUPPLIES CONTRACT AWARD NOTICE</w:t>
      </w:r>
      <w:r/>
    </w:p>
    <w:p>
      <w:pPr>
        <w:pStyle w:val="Normal"/>
        <w:jc w:val="center"/>
      </w:pPr>
      <w:r>
        <w:rPr>
          <w:rStyle w:val="Strong"/>
          <w:sz w:val="22"/>
          <w:szCs w:val="22"/>
        </w:rPr>
        <w:t>Supply of passinger van</w:t>
      </w:r>
      <w:r>
        <w:rPr>
          <w:rStyle w:val="Strong"/>
          <w:sz w:val="22"/>
          <w:szCs w:val="22"/>
        </w:rPr>
        <w:br/>
      </w:r>
      <w:r>
        <w:rPr>
          <w:rStyle w:val="Strong"/>
          <w:sz w:val="28"/>
          <w:szCs w:val="28"/>
        </w:rPr>
        <w:t>Babusnica municipality,Pirot district,Serbia</w:t>
      </w:r>
      <w:r/>
    </w:p>
    <w:p>
      <w:pPr>
        <w:pStyle w:val="Normal"/>
        <w:rPr>
          <w:sz w:val="22"/>
          <w:sz w:val="22"/>
          <w:szCs w:val="22"/>
          <w:rFonts w:ascii="Times New Roman" w:hAnsi="Times New Roman" w:eastAsia="Times New Roman" w:cs="Times New Roman"/>
          <w:color w:val="00000A"/>
          <w:lang w:val="en-US" w:eastAsia="en-US" w:bidi="ar-SA"/>
        </w:rPr>
      </w:pPr>
      <w:r>
        <w:rPr>
          <w:sz w:val="22"/>
          <w:szCs w:val="22"/>
          <w:lang w:val="en-US" w:eastAsia="en-US"/>
        </w:rPr>
      </w:r>
      <w:r/>
    </w:p>
    <w:p>
      <w:pPr>
        <w:pStyle w:val="Normal"/>
        <w:numPr>
          <w:ilvl w:val="0"/>
          <w:numId w:val="0"/>
        </w:numPr>
        <w:ind w:left="709" w:hanging="425"/>
        <w:outlineLvl w:val="0"/>
        <w:rPr>
          <w:sz w:val="22"/>
          <w:sz w:val="22"/>
          <w:szCs w:val="22"/>
        </w:rPr>
      </w:pPr>
      <w:r>
        <w:rPr>
          <w:rStyle w:val="Strong"/>
          <w:sz w:val="22"/>
          <w:szCs w:val="22"/>
        </w:rPr>
        <w:t>1. Type of procedure</w:t>
      </w:r>
      <w:r/>
    </w:p>
    <w:p>
      <w:pPr>
        <w:pStyle w:val="Blockquote"/>
        <w:ind w:left="284" w:right="360" w:hanging="0"/>
      </w:pPr>
      <w:r>
        <w:rPr>
          <w:sz w:val="22"/>
          <w:szCs w:val="22"/>
        </w:rPr>
        <w:t>Simplif</w:t>
      </w:r>
      <w:r>
        <w:rPr>
          <w:sz w:val="22"/>
          <w:szCs w:val="22"/>
        </w:rPr>
        <w:t>i</w:t>
      </w:r>
      <w:r>
        <w:rPr>
          <w:sz w:val="22"/>
          <w:szCs w:val="22"/>
        </w:rPr>
        <w:t>ed tender proc</w:t>
      </w:r>
      <w:r>
        <w:rPr>
          <w:sz w:val="22"/>
          <w:szCs w:val="22"/>
        </w:rPr>
        <w:t>e</w:t>
      </w:r>
      <w:r>
        <w:rPr>
          <w:sz w:val="22"/>
          <w:szCs w:val="22"/>
        </w:rPr>
        <w:t>dure</w:t>
      </w:r>
      <w:r/>
    </w:p>
    <w:p>
      <w:pPr>
        <w:pStyle w:val="Normal"/>
        <w:numPr>
          <w:ilvl w:val="0"/>
          <w:numId w:val="0"/>
        </w:numPr>
        <w:ind w:left="709" w:hanging="425"/>
        <w:outlineLvl w:val="0"/>
        <w:rPr>
          <w:sz w:val="22"/>
          <w:sz w:val="22"/>
          <w:szCs w:val="22"/>
        </w:rPr>
      </w:pPr>
      <w:r>
        <w:rPr>
          <w:rStyle w:val="Strong"/>
          <w:sz w:val="22"/>
          <w:szCs w:val="22"/>
        </w:rPr>
        <w:t>2. Publication reference and date of the contract notice</w:t>
      </w:r>
      <w:r/>
    </w:p>
    <w:p>
      <w:pPr>
        <w:pStyle w:val="Blockquote"/>
        <w:ind w:left="284" w:right="360" w:hanging="0"/>
      </w:pPr>
      <w:r>
        <w:rPr>
          <w:sz w:val="22"/>
          <w:szCs w:val="22"/>
        </w:rPr>
        <w:t xml:space="preserve">   </w:t>
      </w:r>
      <w:r>
        <w:rPr>
          <w:sz w:val="22"/>
          <w:szCs w:val="22"/>
        </w:rPr>
        <w:t>CB007.2.13.174-LP/TD05             15.06.2021.</w:t>
      </w:r>
      <w:r/>
    </w:p>
    <w:p>
      <w:pPr>
        <w:pStyle w:val="Normal"/>
        <w:numPr>
          <w:ilvl w:val="0"/>
          <w:numId w:val="0"/>
        </w:numPr>
        <w:ind w:left="709" w:hanging="425"/>
        <w:outlineLvl w:val="0"/>
        <w:rPr>
          <w:sz w:val="22"/>
          <w:sz w:val="22"/>
          <w:szCs w:val="22"/>
        </w:rPr>
      </w:pPr>
      <w:r>
        <w:rPr>
          <w:rStyle w:val="Strong"/>
          <w:sz w:val="22"/>
          <w:szCs w:val="22"/>
        </w:rPr>
        <w:t>3. Lot number and lot title</w:t>
      </w:r>
      <w:r/>
    </w:p>
    <w:p>
      <w:pPr>
        <w:pStyle w:val="Blockquote"/>
        <w:ind w:left="284" w:right="360" w:hanging="0"/>
      </w:pPr>
      <w:r>
        <w:rPr>
          <w:sz w:val="22"/>
          <w:szCs w:val="22"/>
        </w:rPr>
        <w:t>N/A</w:t>
      </w:r>
      <w:r/>
    </w:p>
    <w:p>
      <w:pPr>
        <w:pStyle w:val="Normal"/>
        <w:numPr>
          <w:ilvl w:val="0"/>
          <w:numId w:val="0"/>
        </w:numPr>
        <w:ind w:left="709" w:hanging="425"/>
        <w:outlineLvl w:val="0"/>
        <w:rPr>
          <w:sz w:val="22"/>
          <w:sz w:val="22"/>
          <w:szCs w:val="22"/>
        </w:rPr>
      </w:pPr>
      <w:r>
        <w:rPr>
          <w:rStyle w:val="Strong"/>
          <w:sz w:val="22"/>
          <w:szCs w:val="22"/>
        </w:rPr>
        <w:t>4. Contract number and value</w:t>
      </w:r>
      <w:r/>
    </w:p>
    <w:p>
      <w:pPr>
        <w:pStyle w:val="Blockquote"/>
        <w:spacing w:before="120" w:after="120"/>
        <w:ind w:left="426" w:right="360" w:hanging="0"/>
        <w:jc w:val="both"/>
      </w:pPr>
      <w:r>
        <w:rPr>
          <w:sz w:val="22"/>
          <w:szCs w:val="22"/>
        </w:rPr>
        <w:t>404-173/2021-1           36.990,00 EUR</w:t>
      </w:r>
      <w:r/>
    </w:p>
    <w:p>
      <w:pPr>
        <w:pStyle w:val="Normal"/>
        <w:numPr>
          <w:ilvl w:val="0"/>
          <w:numId w:val="0"/>
        </w:numPr>
        <w:ind w:left="709" w:hanging="425"/>
        <w:outlineLvl w:val="0"/>
        <w:rPr>
          <w:sz w:val="22"/>
          <w:sz w:val="22"/>
          <w:szCs w:val="22"/>
        </w:rPr>
      </w:pPr>
      <w:r>
        <w:rPr>
          <w:rStyle w:val="Strong"/>
          <w:sz w:val="22"/>
          <w:szCs w:val="22"/>
        </w:rPr>
        <w:t>5. Date of award of the contract</w:t>
      </w:r>
      <w:r/>
    </w:p>
    <w:p>
      <w:pPr>
        <w:pStyle w:val="Blockquote"/>
        <w:ind w:left="284" w:right="360" w:hanging="0"/>
      </w:pPr>
      <w:r>
        <w:rPr>
          <w:sz w:val="22"/>
          <w:szCs w:val="22"/>
        </w:rPr>
        <w:t>16.08.2021.</w:t>
      </w:r>
      <w:r/>
    </w:p>
    <w:p>
      <w:pPr>
        <w:pStyle w:val="Normal"/>
        <w:numPr>
          <w:ilvl w:val="0"/>
          <w:numId w:val="0"/>
        </w:numPr>
        <w:ind w:left="709" w:hanging="425"/>
        <w:outlineLvl w:val="0"/>
        <w:rPr>
          <w:sz w:val="22"/>
          <w:sz w:val="22"/>
          <w:szCs w:val="22"/>
        </w:rPr>
      </w:pPr>
      <w:r>
        <w:rPr>
          <w:rStyle w:val="Strong"/>
          <w:sz w:val="22"/>
          <w:szCs w:val="22"/>
        </w:rPr>
        <w:t>6. Number of tenders received</w:t>
      </w:r>
      <w:r/>
    </w:p>
    <w:p>
      <w:pPr>
        <w:pStyle w:val="Blockquote"/>
        <w:ind w:left="284" w:right="360" w:hanging="0"/>
      </w:pPr>
      <w:r>
        <w:rPr>
          <w:sz w:val="22"/>
          <w:szCs w:val="22"/>
        </w:rPr>
        <w:t>1</w:t>
      </w:r>
      <w:r/>
    </w:p>
    <w:p>
      <w:pPr>
        <w:pStyle w:val="Normal"/>
        <w:numPr>
          <w:ilvl w:val="0"/>
          <w:numId w:val="0"/>
        </w:numPr>
        <w:ind w:left="709" w:hanging="425"/>
        <w:outlineLvl w:val="0"/>
        <w:rPr>
          <w:sz w:val="22"/>
          <w:sz w:val="22"/>
          <w:szCs w:val="22"/>
        </w:rPr>
      </w:pPr>
      <w:r>
        <w:rPr>
          <w:rStyle w:val="Strong"/>
          <w:sz w:val="22"/>
          <w:szCs w:val="22"/>
        </w:rPr>
        <w:t>7. Name, address and nationality of successful tenderer</w:t>
      </w:r>
      <w:r/>
    </w:p>
    <w:p>
      <w:pPr>
        <w:pStyle w:val="Blockquote"/>
        <w:ind w:left="284" w:right="360" w:hanging="0"/>
      </w:pPr>
      <w:r>
        <w:rPr>
          <w:sz w:val="22"/>
          <w:szCs w:val="22"/>
        </w:rPr>
        <w:t>Grand motors doo, Milutina Milankovica 21, 11070 Beograd,Serbia</w:t>
      </w:r>
      <w:r/>
    </w:p>
    <w:p>
      <w:pPr>
        <w:pStyle w:val="Blockquote"/>
        <w:rPr>
          <w:sz w:val="22"/>
          <w:b/>
          <w:sz w:val="22"/>
          <w:b/>
          <w:szCs w:val="22"/>
        </w:rPr>
      </w:pPr>
      <w:r>
        <w:rPr>
          <w:b/>
          <w:sz w:val="22"/>
          <w:szCs w:val="22"/>
        </w:rPr>
        <w:t>8. Duration of contract</w:t>
      </w:r>
      <w:r/>
    </w:p>
    <w:p>
      <w:pPr>
        <w:pStyle w:val="Blockquote"/>
      </w:pPr>
      <w:r>
        <w:rPr>
          <w:sz w:val="22"/>
          <w:szCs w:val="22"/>
        </w:rPr>
        <w:t>3</w:t>
      </w:r>
      <w:r/>
    </w:p>
    <w:p>
      <w:pPr>
        <w:pStyle w:val="Blockquote"/>
        <w:rPr>
          <w:sz w:val="22"/>
          <w:b/>
          <w:sz w:val="22"/>
          <w:b/>
          <w:szCs w:val="22"/>
        </w:rPr>
      </w:pPr>
      <w:r>
        <w:rPr>
          <w:b/>
          <w:sz w:val="22"/>
          <w:szCs w:val="22"/>
        </w:rPr>
        <w:t xml:space="preserve">9. Contracting authority </w:t>
      </w:r>
      <w:r/>
    </w:p>
    <w:p>
      <w:pPr>
        <w:pStyle w:val="Normal"/>
        <w:ind w:left="426" w:hanging="0"/>
        <w:jc w:val="both"/>
      </w:pPr>
      <w:r>
        <w:rPr>
          <w:rStyle w:val="Emphasis"/>
          <w:i w:val="false"/>
          <w:sz w:val="22"/>
          <w:szCs w:val="22"/>
          <w:highlight w:val="yellow"/>
          <w:lang w:val="en-US"/>
        </w:rPr>
        <w:t>Municipality of Babusnica</w:t>
      </w:r>
      <w:r/>
    </w:p>
    <w:p>
      <w:pPr>
        <w:pStyle w:val="Normal"/>
        <w:ind w:left="426" w:hanging="0"/>
        <w:jc w:val="both"/>
      </w:pPr>
      <w:r>
        <w:rPr>
          <w:rStyle w:val="Emphasis"/>
          <w:i w:val="false"/>
          <w:sz w:val="22"/>
          <w:szCs w:val="22"/>
          <w:highlight w:val="yellow"/>
          <w:lang w:val="en-US"/>
        </w:rPr>
        <w:t>Ratka Pavlovica 1</w:t>
      </w:r>
      <w:r/>
    </w:p>
    <w:p>
      <w:pPr>
        <w:pStyle w:val="Normal"/>
        <w:ind w:left="426" w:hanging="0"/>
        <w:jc w:val="both"/>
      </w:pPr>
      <w:r>
        <w:rPr>
          <w:rStyle w:val="Emphasis"/>
          <w:i w:val="false"/>
          <w:sz w:val="22"/>
          <w:szCs w:val="22"/>
          <w:highlight w:val="yellow"/>
          <w:lang w:val="en-US"/>
        </w:rPr>
        <w:t>18330 Babusnica</w:t>
      </w:r>
      <w:r/>
    </w:p>
    <w:p>
      <w:pPr>
        <w:pStyle w:val="Blockquote"/>
        <w:ind w:left="851" w:right="360" w:hanging="567"/>
        <w:rPr>
          <w:sz w:val="22"/>
          <w:b/>
          <w:sz w:val="22"/>
          <w:b/>
          <w:szCs w:val="22"/>
        </w:rPr>
      </w:pPr>
      <w:r>
        <w:rPr>
          <w:b/>
        </w:rPr>
        <w:t xml:space="preserve">10. </w:t>
        <w:tab/>
        <w:t>Legal basis</w:t>
      </w:r>
      <w:r/>
    </w:p>
    <w:p>
      <w:pPr>
        <w:pStyle w:val="PRAGHeading2"/>
        <w:numPr>
          <w:ilvl w:val="0"/>
          <w:numId w:val="0"/>
        </w:numPr>
        <w:ind w:left="284" w:hanging="0"/>
        <w:jc w:val="both"/>
      </w:pPr>
      <w:r>
        <w:rPr>
          <w:sz w:val="22"/>
          <w:szCs w:val="22"/>
          <w:highlight w:val="lightGray"/>
          <w:lang w:val="en-GB"/>
        </w:rPr>
        <w:t>Regulation</w:t>
      </w:r>
      <w:r>
        <w:rPr>
          <w:b/>
          <w:bCs/>
          <w:sz w:val="22"/>
          <w:szCs w:val="22"/>
          <w:highlight w:val="lightGray"/>
          <w:lang w:val="en-GB"/>
        </w:rPr>
        <w:t xml:space="preserve"> </w:t>
      </w:r>
      <w:r>
        <w:rPr>
          <w:sz w:val="22"/>
          <w:szCs w:val="22"/>
          <w:highlight w:val="lightGray"/>
          <w:lang w:val="en-GB"/>
        </w:rPr>
        <w:t>(EU) No </w:t>
      </w:r>
      <w:r>
        <w:rPr>
          <w:sz w:val="22"/>
          <w:szCs w:val="22"/>
          <w:highlight w:val="lightGray"/>
          <w:lang w:val="en-GB" w:eastAsia="ja-JP"/>
        </w:rPr>
        <w:t>236/2014 of the European Parliament and of the Council of 11 March 2014 laying down common rules and procedures for the implementation of the Union's instruments for financing external action and</w:t>
      </w:r>
      <w:r>
        <w:rPr>
          <w:sz w:val="22"/>
          <w:szCs w:val="22"/>
          <w:highlight w:val="yellow"/>
          <w:lang w:val="en-GB" w:eastAsia="ja-JP"/>
        </w:rPr>
        <w:t> </w:t>
      </w:r>
      <w:hyperlink r:id="rId2">
        <w:r>
          <w:rPr>
            <w:rStyle w:val="InternetLink"/>
            <w:sz w:val="22"/>
            <w:szCs w:val="22"/>
            <w:highlight w:val="yellow"/>
            <w:lang w:val="en-GB" w:eastAsia="ja-JP"/>
          </w:rPr>
          <w:t>INTERREG IPA Cross-border Cooperation Programme Bulgaria – Serbia, v. 5.0</w:t>
        </w:r>
      </w:hyperlink>
      <w:r>
        <w:rPr>
          <w:sz w:val="22"/>
          <w:szCs w:val="22"/>
          <w:highlight w:val="yellow"/>
          <w:lang w:val="en-GB" w:eastAsia="ja-JP"/>
        </w:rPr>
        <w:t xml:space="preserve"> </w:t>
      </w:r>
      <w:r>
        <w:rPr>
          <w:sz w:val="22"/>
          <w:szCs w:val="22"/>
          <w:lang w:val="en-GB"/>
        </w:rPr>
        <w:t xml:space="preserve"> - </w:t>
      </w:r>
      <w:r>
        <w:rPr>
          <w:sz w:val="22"/>
          <w:szCs w:val="22"/>
          <w:highlight w:val="lightGray"/>
          <w:lang w:val="en-GB"/>
        </w:rPr>
        <w:t xml:space="preserve">See Annex A2 of the practical guide </w:t>
      </w:r>
      <w:r>
        <w:rPr>
          <w:sz w:val="22"/>
          <w:szCs w:val="22"/>
          <w:highlight w:val="yellow"/>
          <w:lang w:val="en-GB"/>
        </w:rPr>
        <w:t>]</w:t>
      </w:r>
      <w:r/>
    </w:p>
    <w:p>
      <w:pPr>
        <w:pStyle w:val="PRAGHeading2"/>
        <w:numPr>
          <w:ilvl w:val="0"/>
          <w:numId w:val="0"/>
        </w:numPr>
        <w:spacing w:before="100" w:after="100"/>
        <w:ind w:left="284" w:hanging="0"/>
        <w:jc w:val="both"/>
        <w:rPr>
          <w:sz w:val="22"/>
          <w:sz w:val="22"/>
          <w:szCs w:val="22"/>
          <w:highlight w:val="lightGray"/>
          <w:lang w:val="en-GB"/>
        </w:rPr>
      </w:pPr>
      <w:r>
        <w:rPr/>
      </w:r>
      <w:r/>
    </w:p>
    <w:sectPr>
      <w:headerReference w:type="default" r:id="rId3"/>
      <w:footerReference w:type="default" r:id="rId4"/>
      <w:type w:val="nextPage"/>
      <w:pgSz w:w="12240" w:h="15840"/>
      <w:pgMar w:left="1440" w:right="1440" w:header="1440" w:top="1497" w:footer="556"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Liberation Sans">
    <w:altName w:val="Arial"/>
    <w:charset w:val="00"/>
    <w:family w:val="swiss"/>
    <w:pitch w:val="variable"/>
  </w:font>
  <w:font w:name="Arial">
    <w:charset w:val="00"/>
    <w:family w:val="roman"/>
    <w:pitch w:val="variable"/>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tabs>
        <w:tab w:val="right" w:pos="9214" w:leader="none"/>
      </w:tabs>
      <w:spacing w:before="0" w:after="0"/>
      <w:ind w:right="5" w:hanging="0"/>
      <w:rPr>
        <w:sz w:val="18"/>
        <w:sz w:val="18"/>
        <w:szCs w:val="18"/>
        <w:lang w:val="en-GB"/>
      </w:rPr>
    </w:pPr>
    <w:r>
      <w:rPr>
        <w:b/>
        <w:sz w:val="18"/>
        <w:lang w:val="en-GB"/>
      </w:rPr>
      <w:t>July 2019</w:t>
    </w:r>
    <w:bookmarkStart w:id="0" w:name="_GoBack"/>
    <w:bookmarkEnd w:id="0"/>
    <w:r>
      <w:rPr>
        <w:b/>
        <w:sz w:val="18"/>
        <w:szCs w:val="18"/>
        <w:lang w:val="en-GB"/>
      </w:rPr>
      <w:tab/>
    </w:r>
    <w:r>
      <w:rPr>
        <w:sz w:val="18"/>
        <w:szCs w:val="18"/>
        <w:lang w:val="en-GB"/>
      </w:rPr>
      <w:t xml:space="preserve">Page </w:t>
    </w:r>
    <w:r>
      <w:rPr>
        <w:sz w:val="18"/>
        <w:szCs w:val="18"/>
        <w:lang w:val="en-GB"/>
      </w:rPr>
      <w:fldChar w:fldCharType="begin"/>
    </w:r>
    <w:r>
      <w:instrText> PAGE </w:instrText>
    </w:r>
    <w:r>
      <w:fldChar w:fldCharType="separate"/>
    </w:r>
    <w:r>
      <w:t>1</w:t>
    </w:r>
    <w:r>
      <w:fldChar w:fldCharType="end"/>
    </w:r>
    <w:r>
      <w:rPr>
        <w:sz w:val="18"/>
        <w:szCs w:val="18"/>
        <w:lang w:val="en-GB"/>
      </w:rPr>
      <w:t xml:space="preserve"> of </w:t>
    </w:r>
    <w:r>
      <w:rPr>
        <w:sz w:val="18"/>
        <w:szCs w:val="18"/>
        <w:lang w:val="en-GB"/>
      </w:rPr>
      <w:fldChar w:fldCharType="begin"/>
    </w:r>
    <w:r>
      <w:instrText> NUMPAGES </w:instrText>
    </w:r>
    <w:r>
      <w:fldChar w:fldCharType="separate"/>
    </w:r>
    <w:r>
      <w:t>1</w:t>
    </w:r>
    <w:r>
      <w:fldChar w:fldCharType="end"/>
    </w:r>
    <w:r/>
  </w:p>
  <w:p>
    <w:pPr>
      <w:pStyle w:val="Normal"/>
      <w:widowControl/>
      <w:spacing w:before="0" w:after="0"/>
      <w:rPr>
        <w:lang w:val="en-GB"/>
      </w:rPr>
    </w:pPr>
    <w:r>
      <w:rPr/>
      <w:fldChar w:fldCharType="begin"/>
    </w:r>
    <w:r>
      <w:instrText> FILENAME </w:instrText>
    </w:r>
    <w:r>
      <w:fldChar w:fldCharType="separate"/>
    </w:r>
    <w:r>
      <w:t>c9b_awardnotice_en (2).docx</w:t>
    </w:r>
    <w:r>
      <w:fldChar w:fldCharType="end"/>
    </w: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enter" w:pos="4320" w:leader="none"/>
        <w:tab w:val="right" w:pos="8640" w:leader="none"/>
      </w:tabs>
      <w:spacing w:before="100" w:after="100"/>
      <w:rPr>
        <w:sz w:val="24"/>
        <w:sz w:val="24"/>
        <w:szCs w:val="20"/>
        <w:rFonts w:ascii="Times New Roman" w:hAnsi="Times New Roman" w:eastAsia="Times New Roman" w:cs="Times New Roman"/>
        <w:color w:val="00000A"/>
        <w:lang w:val="en-US" w:eastAsia="en-US" w:bidi="ar-SA"/>
      </w:rPr>
    </w:pPr>
    <w:r>
      <w:rPr/>
    </w:r>
    <w:r/>
  </w:p>
</w:hdr>
</file>

<file path=word/settings.xml><?xml version="1.0" encoding="utf-8"?>
<w:settings xmlns:w="http://schemas.openxmlformats.org/wordprocessingml/2006/main">
  <w:zoom w:percent="160"/>
  <w:embedSystemFonts/>
  <w:defaultTabStop w:val="720"/>
  <w:compat>
    <w:compatSetting w:name="compatibilityMode" w:uri="http://schemas.microsoft.com/office/word" w:val="1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pPrDefault>
  </w:docDefaults>
  <w:latentStyles w:count="371" w:defQFormat="0" w:defUnhideWhenUsed="0" w:defSemiHidden="0" w:defUIPriority="0" w:defLockedState="0">
    <w:lsdException w:qFormat="1" w:name="Normal"/>
    <w:lsdException w:qFormat="1" w:name="heading 1"/>
    <w:lsdException w:qFormat="1" w:semiHidden="1" w:unhideWhenUsed="1" w:name="heading 2"/>
    <w:lsdException w:qFormat="1" w:semiHidden="1" w:unhideWhenUsed="1" w:name="heading 3"/>
    <w:lsdException w:qFormat="1" w:semiHidden="1" w:unhideWhenUsed="1" w:name="heading 4"/>
    <w:lsdException w:qFormat="1" w:semiHidden="1" w:unhideWhenUsed="1" w:name="heading 5"/>
    <w:lsdException w:qFormat="1" w:semiHidden="1" w:unhideWhenUsed="1" w:name="heading 6"/>
    <w:lsdException w:qFormat="1" w:semiHidden="1" w:unhideWhenUsed="1" w:name="heading 7"/>
    <w:lsdException w:qFormat="1" w:semiHidden="1" w:unhideWhenUsed="1" w:name="heading 8"/>
    <w:lsdException w:qFormat="1" w:semiHidden="1" w:unhideWhenUsed="1" w:name="heading 9"/>
    <w:lsdException w:qFormat="1" w:semiHidden="1" w:unhideWhenUsed="1" w:name="caption"/>
    <w:lsdException w:qFormat="1" w:name="Title"/>
    <w:lsdException w:qFormat="1" w:name="Subtitle"/>
    <w:lsdException w:qFormat="1" w:name="Strong"/>
    <w:lsdException w:qFormat="1" w:name="Emphasis"/>
    <w:lsdException w:semiHidden="1" w:unhideWhenUsed="1" w:name="Normal Table"/>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Table Theme"/>
    <w:lsdException w:semiHidden="1" w:uiPriority="99"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uiPriority="99"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val="false"/>
      <w:suppressAutoHyphens w:val="true"/>
      <w:bidi w:val="0"/>
      <w:spacing w:before="100" w:after="100"/>
      <w:jc w:val="left"/>
    </w:pPr>
    <w:rPr>
      <w:rFonts w:ascii="Times New Roman" w:hAnsi="Times New Roman" w:eastAsia="Times New Roman" w:cs="Times New Roman"/>
      <w:color w:val="00000A"/>
      <w:sz w:val="24"/>
      <w:szCs w:val="20"/>
      <w:lang w:val="en-US" w:eastAsia="en-US" w:bidi="ar-SA"/>
    </w:rPr>
  </w:style>
  <w:style w:type="character" w:styleId="DefaultParagraphFont" w:default="1">
    <w:name w:val="Default Paragraph Font"/>
    <w:uiPriority w:val="1"/>
    <w:semiHidden/>
    <w:unhideWhenUsed/>
    <w:rPr/>
  </w:style>
  <w:style w:type="character" w:styleId="Definition" w:customStyle="1">
    <w:name w:val="Definition"/>
    <w:rPr>
      <w:i/>
    </w:rPr>
  </w:style>
  <w:style w:type="character" w:styleId="CITE" w:customStyle="1">
    <w:name w:val="CITE"/>
    <w:rPr>
      <w:i/>
    </w:rPr>
  </w:style>
  <w:style w:type="character" w:styleId="CODE" w:customStyle="1">
    <w:name w:val="CODE"/>
    <w:rPr>
      <w:rFonts w:ascii="Courier New" w:hAnsi="Courier New"/>
      <w:sz w:val="20"/>
    </w:rPr>
  </w:style>
  <w:style w:type="character" w:styleId="Emphasis">
    <w:name w:val="Emphasis"/>
    <w:qFormat/>
    <w:rPr>
      <w:i/>
      <w:iCs/>
    </w:rPr>
  </w:style>
  <w:style w:type="character" w:styleId="InternetLink">
    <w:name w:val="Internet Link"/>
    <w:rPr>
      <w:color w:val="0000FF"/>
      <w:u w:val="single"/>
      <w:lang w:val="zxx" w:eastAsia="zxx" w:bidi="zxx"/>
    </w:rPr>
  </w:style>
  <w:style w:type="character" w:styleId="FollowedHyperlink">
    <w:name w:val="FollowedHyperlink"/>
    <w:rPr>
      <w:color w:val="800080"/>
      <w:u w:val="single"/>
    </w:rPr>
  </w:style>
  <w:style w:type="character" w:styleId="Keyboard" w:customStyle="1">
    <w:name w:val="Keyboard"/>
    <w:rPr>
      <w:rFonts w:ascii="Courier New" w:hAnsi="Courier New"/>
      <w:b/>
      <w:sz w:val="20"/>
    </w:rPr>
  </w:style>
  <w:style w:type="character" w:styleId="Sample" w:customStyle="1">
    <w:name w:val="Sample"/>
    <w:rPr>
      <w:rFonts w:ascii="Courier New" w:hAnsi="Courier New"/>
    </w:rPr>
  </w:style>
  <w:style w:type="character" w:styleId="Strong">
    <w:name w:val="Strong"/>
    <w:qFormat/>
    <w:rPr>
      <w:b/>
    </w:rPr>
  </w:style>
  <w:style w:type="character" w:styleId="Typewriter" w:customStyle="1">
    <w:name w:val="Typewriter"/>
    <w:rPr>
      <w:rFonts w:ascii="Courier New" w:hAnsi="Courier New"/>
      <w:sz w:val="20"/>
    </w:rPr>
  </w:style>
  <w:style w:type="character" w:styleId="Variable" w:customStyle="1">
    <w:name w:val="Variable"/>
    <w:rPr>
      <w:i/>
      <w:iCs/>
    </w:rPr>
  </w:style>
  <w:style w:type="character" w:styleId="HTMLMarkup" w:customStyle="1">
    <w:name w:val="HTML Markup"/>
    <w:rPr>
      <w:vanish/>
      <w:color w:val="FF0000"/>
    </w:rPr>
  </w:style>
  <w:style w:type="character" w:styleId="Comment" w:customStyle="1">
    <w:name w:val="Comment"/>
    <w:rPr>
      <w:vanish/>
    </w:rPr>
  </w:style>
  <w:style w:type="character" w:styleId="Annotationreference">
    <w:name w:val="annotation reference"/>
    <w:rsid w:val="00e00f3e"/>
    <w:rPr>
      <w:sz w:val="16"/>
      <w:szCs w:val="16"/>
    </w:rPr>
  </w:style>
  <w:style w:type="character" w:styleId="CommentTextChar" w:customStyle="1">
    <w:name w:val="Comment Text Char"/>
    <w:link w:val="CommentText"/>
    <w:rsid w:val="00e00f3e"/>
    <w:rPr>
      <w:lang w:val="en-US" w:eastAsia="en-US"/>
    </w:rPr>
  </w:style>
  <w:style w:type="character" w:styleId="CommentSubjectChar" w:customStyle="1">
    <w:name w:val="Comment Subject Char"/>
    <w:link w:val="CommentSubject"/>
    <w:rsid w:val="00e00f3e"/>
    <w:rPr>
      <w:b/>
      <w:bCs/>
      <w:lang w:val="en-US" w:eastAsia="en-US"/>
    </w:rPr>
  </w:style>
  <w:style w:type="character" w:styleId="ListLabel1">
    <w:name w:val="ListLabel 1"/>
    <w:rPr>
      <w:b/>
      <w:i w:val="false"/>
      <w:sz w:val="22"/>
      <w:szCs w:val="22"/>
    </w:rPr>
  </w:style>
  <w:style w:type="character" w:styleId="ListLabel2">
    <w:name w:val="ListLabel 2"/>
    <w:rPr>
      <w:b/>
      <w:i w:val="false"/>
      <w:sz w:val="22"/>
      <w:szCs w:val="22"/>
    </w:rPr>
  </w:style>
  <w:style w:type="paragraph" w:styleId="Heading">
    <w:name w:val="Heading"/>
    <w:basedOn w:val="Normal"/>
    <w:next w:val="TextBody"/>
    <w:pPr>
      <w:keepNext/>
      <w:spacing w:before="240" w:after="120"/>
    </w:pPr>
    <w:rPr>
      <w:rFonts w:ascii="Liberation Sans" w:hAnsi="Liberation Sans" w:eastAsia="Microsoft YaHei" w:cs="Ari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pPr>
      <w:suppressLineNumbers/>
      <w:spacing w:before="120" w:after="120"/>
    </w:pPr>
    <w:rPr>
      <w:rFonts w:cs="Arial"/>
      <w:i/>
      <w:iCs/>
      <w:sz w:val="24"/>
      <w:szCs w:val="24"/>
    </w:rPr>
  </w:style>
  <w:style w:type="paragraph" w:styleId="Index">
    <w:name w:val="Index"/>
    <w:basedOn w:val="Normal"/>
    <w:pPr>
      <w:suppressLineNumbers/>
    </w:pPr>
    <w:rPr>
      <w:rFonts w:cs="Arial"/>
    </w:rPr>
  </w:style>
  <w:style w:type="paragraph" w:styleId="DefinitionTerm" w:customStyle="1">
    <w:name w:val="Definition Term"/>
    <w:basedOn w:val="Normal"/>
    <w:pPr>
      <w:spacing w:before="0" w:after="0"/>
    </w:pPr>
    <w:rPr/>
  </w:style>
  <w:style w:type="paragraph" w:styleId="DefinitionList" w:customStyle="1">
    <w:name w:val="Definition List"/>
    <w:basedOn w:val="Normal"/>
    <w:pPr>
      <w:spacing w:before="0" w:after="0"/>
      <w:ind w:left="360" w:hanging="0"/>
    </w:pPr>
    <w:rPr/>
  </w:style>
  <w:style w:type="paragraph" w:styleId="H1" w:customStyle="1">
    <w:name w:val="H1"/>
    <w:basedOn w:val="Normal"/>
    <w:next w:val="Normal"/>
    <w:pPr>
      <w:keepNext/>
      <w:outlineLvl w:val="1"/>
    </w:pPr>
    <w:rPr>
      <w:b/>
      <w:sz w:val="48"/>
    </w:rPr>
  </w:style>
  <w:style w:type="paragraph" w:styleId="H2" w:customStyle="1">
    <w:name w:val="H2"/>
    <w:basedOn w:val="Normal"/>
    <w:next w:val="Normal"/>
    <w:pPr>
      <w:keepNext/>
      <w:outlineLvl w:val="2"/>
    </w:pPr>
    <w:rPr>
      <w:b/>
      <w:sz w:val="36"/>
    </w:rPr>
  </w:style>
  <w:style w:type="paragraph" w:styleId="H3" w:customStyle="1">
    <w:name w:val="H3"/>
    <w:basedOn w:val="Normal"/>
    <w:next w:val="Normal"/>
    <w:pPr>
      <w:keepNext/>
      <w:outlineLvl w:val="3"/>
    </w:pPr>
    <w:rPr>
      <w:b/>
      <w:sz w:val="28"/>
    </w:rPr>
  </w:style>
  <w:style w:type="paragraph" w:styleId="H4" w:customStyle="1">
    <w:name w:val="H4"/>
    <w:basedOn w:val="Normal"/>
    <w:next w:val="Normal"/>
    <w:pPr>
      <w:keepNext/>
      <w:outlineLvl w:val="4"/>
    </w:pPr>
    <w:rPr>
      <w:b/>
    </w:rPr>
  </w:style>
  <w:style w:type="paragraph" w:styleId="H5" w:customStyle="1">
    <w:name w:val="H5"/>
    <w:basedOn w:val="Normal"/>
    <w:next w:val="Normal"/>
    <w:pPr>
      <w:keepNext/>
      <w:outlineLvl w:val="5"/>
    </w:pPr>
    <w:rPr>
      <w:b/>
      <w:sz w:val="20"/>
    </w:rPr>
  </w:style>
  <w:style w:type="paragraph" w:styleId="H6" w:customStyle="1">
    <w:name w:val="H6"/>
    <w:basedOn w:val="Normal"/>
    <w:next w:val="Normal"/>
    <w:pPr>
      <w:keepNext/>
      <w:outlineLvl w:val="6"/>
    </w:pPr>
    <w:rPr>
      <w:b/>
      <w:sz w:val="16"/>
    </w:rPr>
  </w:style>
  <w:style w:type="paragraph" w:styleId="Address" w:customStyle="1">
    <w:name w:val="Address"/>
    <w:basedOn w:val="Normal"/>
    <w:next w:val="Normal"/>
    <w:pPr>
      <w:spacing w:before="0" w:after="0"/>
    </w:pPr>
    <w:rPr>
      <w:i/>
    </w:rPr>
  </w:style>
  <w:style w:type="paragraph" w:styleId="Blockquote" w:customStyle="1">
    <w:name w:val="Blockquote"/>
    <w:basedOn w:val="Normal"/>
    <w:pPr>
      <w:ind w:left="360" w:right="360" w:hanging="0"/>
    </w:pPr>
    <w:rPr/>
  </w:style>
  <w:style w:type="paragraph" w:styleId="Preformatted" w:customStyle="1">
    <w:name w:val="Preformatted"/>
    <w:basedOn w:val="Normal"/>
    <w:pPr>
      <w:tabs>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HTMLBottomofForm">
    <w:name w:val="HTML Bottom of Form"/>
    <w:next w:val="Normal"/>
    <w:pPr>
      <w:widowControl w:val="false"/>
      <w:pBdr>
        <w:top w:val="double" w:sz="2" w:space="0" w:color="000001"/>
      </w:pBdr>
      <w:suppressAutoHyphens w:val="true"/>
      <w:bidi w:val="0"/>
      <w:jc w:val="center"/>
    </w:pPr>
    <w:rPr>
      <w:rFonts w:ascii="Arial" w:hAnsi="Arial" w:eastAsia="Times New Roman" w:cs="Times New Roman"/>
      <w:vanish/>
      <w:color w:val="00000A"/>
      <w:sz w:val="16"/>
      <w:szCs w:val="20"/>
      <w:lang w:val="en-US" w:eastAsia="en-US" w:bidi="ar-SA"/>
    </w:rPr>
  </w:style>
  <w:style w:type="paragraph" w:styleId="HTMLTopofForm">
    <w:name w:val="HTML Top of Form"/>
    <w:next w:val="Normal"/>
    <w:pPr>
      <w:widowControl w:val="false"/>
      <w:pBdr>
        <w:bottom w:val="double" w:sz="2" w:space="0" w:color="000001"/>
      </w:pBdr>
      <w:suppressAutoHyphens w:val="true"/>
      <w:bidi w:val="0"/>
      <w:jc w:val="center"/>
    </w:pPr>
    <w:rPr>
      <w:rFonts w:ascii="Arial" w:hAnsi="Arial" w:eastAsia="Times New Roman" w:cs="Times New Roman"/>
      <w:vanish/>
      <w:color w:val="00000A"/>
      <w:sz w:val="16"/>
      <w:szCs w:val="20"/>
      <w:lang w:val="en-US" w:eastAsia="en-US" w:bidi="ar-SA"/>
    </w:rPr>
  </w:style>
  <w:style w:type="paragraph" w:styleId="Header">
    <w:name w:val="Header"/>
    <w:basedOn w:val="Normal"/>
    <w:pPr>
      <w:tabs>
        <w:tab w:val="center" w:pos="4320" w:leader="none"/>
        <w:tab w:val="right" w:pos="8640" w:leader="none"/>
      </w:tabs>
    </w:pPr>
    <w:rPr/>
  </w:style>
  <w:style w:type="paragraph" w:styleId="Footer">
    <w:name w:val="Footer"/>
    <w:basedOn w:val="Normal"/>
    <w:pPr>
      <w:tabs>
        <w:tab w:val="center" w:pos="4320" w:leader="none"/>
        <w:tab w:val="right" w:pos="8640" w:leader="none"/>
      </w:tabs>
    </w:pPr>
    <w:rPr/>
  </w:style>
  <w:style w:type="paragraph" w:styleId="BodyText2">
    <w:name w:val="Body Text 2"/>
    <w:basedOn w:val="Normal"/>
    <w:rsid w:val="00822af7"/>
    <w:pPr>
      <w:widowControl/>
      <w:tabs>
        <w:tab w:val="left" w:pos="567" w:leader="none"/>
      </w:tabs>
      <w:spacing w:before="0" w:after="0"/>
      <w:jc w:val="both"/>
    </w:pPr>
    <w:rPr>
      <w:lang w:val="sv-SE" w:eastAsia="en-GB"/>
    </w:rPr>
  </w:style>
  <w:style w:type="paragraph" w:styleId="BalloonText">
    <w:name w:val="Balloon Text"/>
    <w:basedOn w:val="Normal"/>
    <w:semiHidden/>
    <w:rsid w:val="000d712d"/>
    <w:pPr/>
    <w:rPr>
      <w:rFonts w:ascii="Tahoma" w:hAnsi="Tahoma" w:cs="Tahoma"/>
      <w:sz w:val="16"/>
      <w:szCs w:val="16"/>
    </w:rPr>
  </w:style>
  <w:style w:type="paragraph" w:styleId="PRAGHeading2" w:customStyle="1">
    <w:name w:val="PRAG Heading 2"/>
    <w:basedOn w:val="Normal"/>
    <w:rsid w:val="00e31d1e"/>
    <w:pPr/>
    <w:rPr>
      <w:lang w:val="fr-FR"/>
    </w:rPr>
  </w:style>
  <w:style w:type="paragraph" w:styleId="Annotationtext">
    <w:name w:val="annotation text"/>
    <w:basedOn w:val="Normal"/>
    <w:link w:val="CommentTextChar"/>
    <w:rsid w:val="00e00f3e"/>
    <w:pPr/>
    <w:rPr>
      <w:sz w:val="20"/>
    </w:rPr>
  </w:style>
  <w:style w:type="paragraph" w:styleId="Annotationsubject">
    <w:name w:val="annotation subject"/>
    <w:basedOn w:val="Annotationtext"/>
    <w:link w:val="CommentSubjectChar"/>
    <w:rsid w:val="00e00f3e"/>
    <w:pPr/>
    <w:rPr>
      <w:b/>
      <w:bCs/>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ipacbc-bgrs.eu/sites/ipacbc-bgrs-105.gateway.bg/files/uploads/op/interreg-ipa_bg-rs_ver5_2018.pdf"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2475</TotalTime>
  <Application>LibreOffice/4.3.0.4$Windows_x86 LibreOffice_project/62ad5818884a2fc2e5780dd45466868d41009ec0</Application>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2018-12-18T11:44:00Z</dcterms:created>
  <dc:creator>chattob</dc:creator>
  <dc:language>sr-Latn-RS</dc:language>
  <dcterms:modified xsi:type="dcterms:W3CDTF">2021-11-29T08:46:02Z</dcterms:modified>
  <cp:revision>5</cp:revision>
  <dc:title>C9 Award</dc:title>
</cp:coreProperties>
</file>