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32DC2" w14:textId="64043324" w:rsidR="002139C6" w:rsidRPr="00662DD3" w:rsidRDefault="00764986" w:rsidP="003900DF">
      <w:pPr>
        <w:jc w:val="center"/>
        <w:rPr>
          <w:b/>
          <w:sz w:val="28"/>
          <w:szCs w:val="28"/>
          <w:lang w:val="en-US"/>
        </w:rPr>
      </w:pPr>
      <w:r w:rsidRPr="00662DD3">
        <w:rPr>
          <w:noProof/>
          <w:snapToGrid/>
          <w:sz w:val="22"/>
          <w:szCs w:val="22"/>
          <w:lang w:val="bg-BG" w:eastAsia="bg-BG"/>
        </w:rPr>
        <mc:AlternateContent>
          <mc:Choice Requires="wps">
            <w:drawing>
              <wp:anchor distT="0" distB="0" distL="114300" distR="114300" simplePos="0" relativeHeight="251657728" behindDoc="0" locked="0" layoutInCell="0" allowOverlap="1" wp14:anchorId="25AEC36C" wp14:editId="42341B32">
                <wp:simplePos x="0" y="0"/>
                <wp:positionH relativeFrom="column">
                  <wp:posOffset>-57150</wp:posOffset>
                </wp:positionH>
                <wp:positionV relativeFrom="paragraph">
                  <wp:posOffset>27940</wp:posOffset>
                </wp:positionV>
                <wp:extent cx="5943600" cy="635"/>
                <wp:effectExtent l="0" t="0" r="0" b="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4D807E8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NyFVQIAALI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" o:allowincell="f" strokecolor="#d4d4d4" strokeweight="1.75pt">
                <v:shadow on="t" offset="0,-1pt"/>
              </v:line>
            </w:pict>
          </mc:Fallback>
        </mc:AlternateContent>
      </w:r>
      <w:r w:rsidR="002139C6" w:rsidRPr="00662DD3">
        <w:rPr>
          <w:b/>
          <w:sz w:val="28"/>
          <w:szCs w:val="28"/>
          <w:lang w:val="en-US"/>
        </w:rPr>
        <w:t xml:space="preserve">WORKS </w:t>
      </w:r>
      <w:r w:rsidR="008D70D4" w:rsidRPr="00662DD3">
        <w:rPr>
          <w:b/>
          <w:sz w:val="28"/>
          <w:szCs w:val="28"/>
          <w:lang w:val="en-US"/>
        </w:rPr>
        <w:t>CONTRACT</w:t>
      </w:r>
      <w:r w:rsidR="0076200F" w:rsidRPr="00662DD3">
        <w:rPr>
          <w:b/>
          <w:sz w:val="28"/>
          <w:szCs w:val="28"/>
          <w:lang w:val="en-US"/>
        </w:rPr>
        <w:t xml:space="preserve"> </w:t>
      </w:r>
      <w:r w:rsidR="002139C6" w:rsidRPr="00662DD3">
        <w:rPr>
          <w:b/>
          <w:sz w:val="28"/>
          <w:szCs w:val="28"/>
          <w:lang w:val="en-US"/>
        </w:rPr>
        <w:t>NOTICE</w:t>
      </w:r>
    </w:p>
    <w:p w14:paraId="141F531B" w14:textId="64F1C71A" w:rsidR="002139C6" w:rsidRPr="00662DD3" w:rsidRDefault="001709CB" w:rsidP="003900DF">
      <w:pPr>
        <w:jc w:val="center"/>
        <w:rPr>
          <w:b/>
          <w:sz w:val="22"/>
          <w:szCs w:val="22"/>
          <w:lang w:val="en-US"/>
        </w:rPr>
      </w:pPr>
      <w:r w:rsidRPr="00662DD3">
        <w:rPr>
          <w:rStyle w:val="a6"/>
          <w:sz w:val="22"/>
          <w:szCs w:val="22"/>
          <w:lang w:val="en-US"/>
        </w:rPr>
        <w:t xml:space="preserve">Contract title: </w:t>
      </w:r>
      <w:r w:rsidR="00521286" w:rsidRPr="00662DD3">
        <w:rPr>
          <w:b/>
          <w:sz w:val="22"/>
          <w:szCs w:val="22"/>
          <w:lang w:val="en-US"/>
        </w:rPr>
        <w:t xml:space="preserve">Small scale constructions for the needs of Municipality of </w:t>
      </w:r>
      <w:proofErr w:type="spellStart"/>
      <w:r w:rsidR="00521286" w:rsidRPr="00662DD3">
        <w:rPr>
          <w:b/>
          <w:sz w:val="22"/>
          <w:szCs w:val="22"/>
          <w:lang w:val="en-US"/>
        </w:rPr>
        <w:t>Botevgrad</w:t>
      </w:r>
      <w:proofErr w:type="spellEnd"/>
      <w:r w:rsidR="00521286" w:rsidRPr="00662DD3">
        <w:rPr>
          <w:b/>
          <w:sz w:val="22"/>
          <w:szCs w:val="22"/>
          <w:lang w:val="en-US"/>
        </w:rPr>
        <w:t xml:space="preserve"> under project CB007.2.11.224</w:t>
      </w:r>
      <w:r w:rsidR="003900DF" w:rsidRPr="00662DD3">
        <w:rPr>
          <w:b/>
          <w:sz w:val="22"/>
          <w:szCs w:val="22"/>
          <w:lang w:val="en-US"/>
        </w:rPr>
        <w:t xml:space="preserve"> with 3 lots:</w:t>
      </w:r>
    </w:p>
    <w:p w14:paraId="2A702689" w14:textId="41875361" w:rsidR="003900DF" w:rsidRPr="00662DD3" w:rsidRDefault="003900DF" w:rsidP="003900DF">
      <w:pPr>
        <w:jc w:val="center"/>
        <w:rPr>
          <w:b/>
          <w:sz w:val="22"/>
          <w:szCs w:val="22"/>
          <w:lang w:val="en-US"/>
        </w:rPr>
      </w:pPr>
      <w:r w:rsidRPr="00662DD3">
        <w:rPr>
          <w:b/>
          <w:sz w:val="22"/>
          <w:szCs w:val="22"/>
          <w:lang w:val="en-US"/>
        </w:rPr>
        <w:t xml:space="preserve">LOT 1: </w:t>
      </w:r>
      <w:r w:rsidR="00B31F70" w:rsidRPr="00662DD3">
        <w:rPr>
          <w:b/>
          <w:sz w:val="22"/>
          <w:szCs w:val="22"/>
          <w:lang w:val="en-US"/>
        </w:rPr>
        <w:t>Exhibition</w:t>
      </w:r>
      <w:r w:rsidRPr="00662DD3">
        <w:rPr>
          <w:b/>
          <w:sz w:val="22"/>
          <w:szCs w:val="22"/>
          <w:lang w:val="en-US"/>
        </w:rPr>
        <w:t xml:space="preserve"> and Socialization of the Clock Tower in </w:t>
      </w:r>
      <w:proofErr w:type="spellStart"/>
      <w:r w:rsidRPr="00662DD3">
        <w:rPr>
          <w:b/>
          <w:sz w:val="22"/>
          <w:szCs w:val="22"/>
          <w:lang w:val="en-US"/>
        </w:rPr>
        <w:t>Botevgrad</w:t>
      </w:r>
      <w:proofErr w:type="spellEnd"/>
      <w:r w:rsidRPr="00662DD3">
        <w:rPr>
          <w:b/>
          <w:sz w:val="22"/>
          <w:szCs w:val="22"/>
          <w:lang w:val="en-US"/>
        </w:rPr>
        <w:t xml:space="preserve"> under project CB007.2.11.224</w:t>
      </w:r>
    </w:p>
    <w:p w14:paraId="736DF3CC" w14:textId="4E0DAE48" w:rsidR="003900DF" w:rsidRPr="00662DD3" w:rsidRDefault="003900DF" w:rsidP="003900DF">
      <w:pPr>
        <w:jc w:val="center"/>
        <w:rPr>
          <w:rStyle w:val="a6"/>
          <w:sz w:val="22"/>
          <w:szCs w:val="22"/>
          <w:lang w:val="en-US"/>
        </w:rPr>
      </w:pPr>
      <w:r w:rsidRPr="00662DD3">
        <w:rPr>
          <w:b/>
          <w:sz w:val="22"/>
          <w:szCs w:val="22"/>
          <w:lang w:val="en-US"/>
        </w:rPr>
        <w:t xml:space="preserve">LOT 2: Exterior promoting center in </w:t>
      </w:r>
      <w:proofErr w:type="spellStart"/>
      <w:r w:rsidRPr="00662DD3">
        <w:rPr>
          <w:b/>
          <w:sz w:val="22"/>
          <w:szCs w:val="22"/>
          <w:lang w:val="en-US"/>
        </w:rPr>
        <w:t>Botevgrad</w:t>
      </w:r>
      <w:proofErr w:type="spellEnd"/>
      <w:r w:rsidRPr="00662DD3">
        <w:rPr>
          <w:b/>
          <w:sz w:val="22"/>
          <w:szCs w:val="22"/>
          <w:lang w:val="en-US"/>
        </w:rPr>
        <w:t xml:space="preserve"> under project CB007.2.11.224</w:t>
      </w:r>
    </w:p>
    <w:p w14:paraId="5C2ED929" w14:textId="13DEE6CD" w:rsidR="003900DF" w:rsidRPr="00662DD3" w:rsidRDefault="003900DF" w:rsidP="003900DF">
      <w:pPr>
        <w:jc w:val="center"/>
        <w:rPr>
          <w:rStyle w:val="a6"/>
          <w:sz w:val="22"/>
          <w:szCs w:val="22"/>
          <w:lang w:val="en-US"/>
        </w:rPr>
      </w:pPr>
      <w:r w:rsidRPr="00662DD3">
        <w:rPr>
          <w:b/>
          <w:sz w:val="22"/>
          <w:szCs w:val="22"/>
          <w:lang w:val="en-US"/>
        </w:rPr>
        <w:t>LOT 3: Realization of open air museum under project CB007.2.11.224</w:t>
      </w:r>
    </w:p>
    <w:p w14:paraId="10C3EE4E" w14:textId="42106DBB" w:rsidR="005E63ED" w:rsidRPr="00662DD3" w:rsidRDefault="002139C6" w:rsidP="003900DF">
      <w:pPr>
        <w:jc w:val="center"/>
        <w:rPr>
          <w:rStyle w:val="a6"/>
          <w:sz w:val="22"/>
          <w:szCs w:val="22"/>
          <w:lang w:val="en-US"/>
        </w:rPr>
      </w:pPr>
      <w:r w:rsidRPr="00662DD3">
        <w:rPr>
          <w:b/>
          <w:sz w:val="22"/>
          <w:szCs w:val="22"/>
          <w:lang w:val="en-US"/>
        </w:rPr>
        <w:t>Location</w:t>
      </w:r>
      <w:r w:rsidRPr="00662DD3">
        <w:rPr>
          <w:sz w:val="22"/>
          <w:szCs w:val="22"/>
          <w:lang w:val="en-US"/>
        </w:rPr>
        <w:t xml:space="preserve"> </w:t>
      </w:r>
      <w:r w:rsidR="001709CB" w:rsidRPr="00662DD3">
        <w:rPr>
          <w:sz w:val="22"/>
          <w:szCs w:val="22"/>
          <w:lang w:val="en-US"/>
        </w:rPr>
        <w:t>–</w:t>
      </w:r>
      <w:r w:rsidRPr="00662DD3">
        <w:rPr>
          <w:sz w:val="22"/>
          <w:szCs w:val="22"/>
          <w:lang w:val="en-US"/>
        </w:rPr>
        <w:t xml:space="preserve"> </w:t>
      </w:r>
      <w:r w:rsidR="001709CB" w:rsidRPr="00662DD3">
        <w:rPr>
          <w:bCs/>
          <w:sz w:val="22"/>
          <w:szCs w:val="22"/>
          <w:lang w:val="en-US"/>
        </w:rPr>
        <w:t xml:space="preserve">Municipality of </w:t>
      </w:r>
      <w:proofErr w:type="spellStart"/>
      <w:r w:rsidR="00521286" w:rsidRPr="00662DD3">
        <w:rPr>
          <w:bCs/>
          <w:sz w:val="22"/>
          <w:szCs w:val="22"/>
          <w:lang w:val="en-US"/>
        </w:rPr>
        <w:t>Botevgrad</w:t>
      </w:r>
      <w:proofErr w:type="spellEnd"/>
      <w:r w:rsidR="001709CB" w:rsidRPr="00662DD3">
        <w:rPr>
          <w:bCs/>
          <w:sz w:val="22"/>
          <w:szCs w:val="22"/>
          <w:lang w:val="en-US"/>
        </w:rPr>
        <w:t xml:space="preserve">, </w:t>
      </w:r>
      <w:r w:rsidR="009F7C3F" w:rsidRPr="00662DD3">
        <w:rPr>
          <w:bCs/>
          <w:sz w:val="22"/>
          <w:szCs w:val="22"/>
          <w:lang w:val="en-US"/>
        </w:rPr>
        <w:t>Sofia</w:t>
      </w:r>
      <w:r w:rsidR="001709CB" w:rsidRPr="00662DD3">
        <w:rPr>
          <w:bCs/>
          <w:sz w:val="22"/>
          <w:szCs w:val="22"/>
          <w:lang w:val="en-US"/>
        </w:rPr>
        <w:t xml:space="preserve"> District, Bulgaria</w:t>
      </w:r>
    </w:p>
    <w:p w14:paraId="4799E25A" w14:textId="77777777" w:rsidR="002139C6" w:rsidRPr="00662DD3" w:rsidRDefault="00D62A71" w:rsidP="003900DF">
      <w:pPr>
        <w:pStyle w:val="PRAGHeading2"/>
        <w:rPr>
          <w:rStyle w:val="a6"/>
          <w:sz w:val="22"/>
          <w:szCs w:val="22"/>
          <w:lang w:val="en-US"/>
        </w:rPr>
      </w:pPr>
      <w:r w:rsidRPr="00662DD3">
        <w:rPr>
          <w:rStyle w:val="a6"/>
          <w:sz w:val="22"/>
          <w:szCs w:val="22"/>
          <w:lang w:val="en-US"/>
        </w:rPr>
        <w:t>R</w:t>
      </w:r>
      <w:r w:rsidR="002139C6" w:rsidRPr="00662DD3">
        <w:rPr>
          <w:rStyle w:val="a6"/>
          <w:sz w:val="22"/>
          <w:szCs w:val="22"/>
          <w:lang w:val="en-US"/>
        </w:rPr>
        <w:t>eference</w:t>
      </w:r>
    </w:p>
    <w:p w14:paraId="33A18CC7" w14:textId="129F43B2" w:rsidR="003900DF" w:rsidRPr="00662DD3" w:rsidRDefault="003900DF" w:rsidP="003900DF">
      <w:pPr>
        <w:ind w:left="709"/>
        <w:rPr>
          <w:bCs/>
          <w:sz w:val="22"/>
          <w:szCs w:val="22"/>
          <w:lang w:val="en-US"/>
        </w:rPr>
      </w:pPr>
      <w:r w:rsidRPr="00662DD3">
        <w:rPr>
          <w:bCs/>
          <w:sz w:val="22"/>
          <w:szCs w:val="22"/>
          <w:lang w:val="en-US"/>
        </w:rPr>
        <w:t xml:space="preserve">CB007.2.11.224 – LP – Works </w:t>
      </w:r>
      <w:r w:rsidR="009853EB">
        <w:rPr>
          <w:bCs/>
          <w:sz w:val="22"/>
          <w:szCs w:val="22"/>
          <w:lang w:val="en-US"/>
        </w:rPr>
        <w:t>1</w:t>
      </w:r>
    </w:p>
    <w:p w14:paraId="758D837D" w14:textId="41F238E1" w:rsidR="002139C6" w:rsidRPr="00662DD3" w:rsidRDefault="003900DF" w:rsidP="003900DF">
      <w:pPr>
        <w:ind w:left="709"/>
        <w:rPr>
          <w:bCs/>
          <w:sz w:val="22"/>
          <w:szCs w:val="22"/>
          <w:lang w:val="en-US"/>
        </w:rPr>
      </w:pPr>
      <w:r w:rsidRPr="00662DD3">
        <w:rPr>
          <w:sz w:val="22"/>
          <w:szCs w:val="22"/>
          <w:lang w:val="en-US"/>
        </w:rPr>
        <w:t xml:space="preserve">Ref. No of LOT 1: </w:t>
      </w:r>
      <w:r w:rsidR="00521286" w:rsidRPr="00662DD3">
        <w:rPr>
          <w:bCs/>
          <w:sz w:val="22"/>
          <w:szCs w:val="22"/>
          <w:lang w:val="en-US"/>
        </w:rPr>
        <w:t xml:space="preserve">CB007.2.11.224 </w:t>
      </w:r>
      <w:r w:rsidR="001709CB" w:rsidRPr="00662DD3">
        <w:rPr>
          <w:bCs/>
          <w:sz w:val="22"/>
          <w:szCs w:val="22"/>
          <w:lang w:val="en-US"/>
        </w:rPr>
        <w:t xml:space="preserve">– LP – Works </w:t>
      </w:r>
      <w:r w:rsidR="009853EB">
        <w:rPr>
          <w:bCs/>
          <w:sz w:val="22"/>
          <w:szCs w:val="22"/>
          <w:lang w:val="en-US"/>
        </w:rPr>
        <w:t>1</w:t>
      </w:r>
      <w:r w:rsidR="00C13BBC" w:rsidRPr="00662DD3">
        <w:rPr>
          <w:bCs/>
          <w:sz w:val="22"/>
          <w:szCs w:val="22"/>
          <w:lang w:val="en-US"/>
        </w:rPr>
        <w:t xml:space="preserve"> – LOT 1</w:t>
      </w:r>
    </w:p>
    <w:p w14:paraId="375E2123" w14:textId="2499EC11" w:rsidR="00C13BBC" w:rsidRPr="00662DD3" w:rsidRDefault="003900DF" w:rsidP="003900DF">
      <w:pPr>
        <w:ind w:left="709"/>
        <w:rPr>
          <w:bCs/>
          <w:sz w:val="22"/>
          <w:szCs w:val="22"/>
          <w:lang w:val="en-US"/>
        </w:rPr>
      </w:pPr>
      <w:r w:rsidRPr="00662DD3">
        <w:rPr>
          <w:sz w:val="22"/>
          <w:szCs w:val="22"/>
          <w:lang w:val="en-US"/>
        </w:rPr>
        <w:t xml:space="preserve">Ref. No of LOT 2: </w:t>
      </w:r>
      <w:r w:rsidR="00C13BBC" w:rsidRPr="00662DD3">
        <w:rPr>
          <w:bCs/>
          <w:sz w:val="22"/>
          <w:szCs w:val="22"/>
          <w:lang w:val="en-US"/>
        </w:rPr>
        <w:t>CB007.2.11.224 – LP – Works</w:t>
      </w:r>
      <w:r w:rsidR="009853EB">
        <w:rPr>
          <w:bCs/>
          <w:sz w:val="22"/>
          <w:szCs w:val="22"/>
          <w:lang w:val="en-US"/>
        </w:rPr>
        <w:t xml:space="preserve"> 1</w:t>
      </w:r>
      <w:r w:rsidR="00C13BBC" w:rsidRPr="00662DD3">
        <w:rPr>
          <w:bCs/>
          <w:sz w:val="22"/>
          <w:szCs w:val="22"/>
          <w:lang w:val="en-US"/>
        </w:rPr>
        <w:t xml:space="preserve"> – LOT 2</w:t>
      </w:r>
    </w:p>
    <w:p w14:paraId="312A0D17" w14:textId="5FED6E98" w:rsidR="00C13BBC" w:rsidRPr="00662DD3" w:rsidRDefault="003900DF" w:rsidP="003900DF">
      <w:pPr>
        <w:ind w:left="709"/>
        <w:rPr>
          <w:bCs/>
          <w:sz w:val="22"/>
          <w:szCs w:val="22"/>
          <w:lang w:val="en-US"/>
        </w:rPr>
      </w:pPr>
      <w:r w:rsidRPr="00662DD3">
        <w:rPr>
          <w:sz w:val="22"/>
          <w:szCs w:val="22"/>
          <w:lang w:val="en-US"/>
        </w:rPr>
        <w:t xml:space="preserve">Ref. No of LOT 3: </w:t>
      </w:r>
      <w:r w:rsidR="00C13BBC" w:rsidRPr="00662DD3">
        <w:rPr>
          <w:bCs/>
          <w:sz w:val="22"/>
          <w:szCs w:val="22"/>
          <w:lang w:val="en-US"/>
        </w:rPr>
        <w:t xml:space="preserve">CB007.2.11.224 – LP – Works </w:t>
      </w:r>
      <w:r w:rsidR="009853EB">
        <w:rPr>
          <w:bCs/>
          <w:sz w:val="22"/>
          <w:szCs w:val="22"/>
          <w:lang w:val="en-US"/>
        </w:rPr>
        <w:t>1</w:t>
      </w:r>
      <w:r w:rsidR="00C13BBC" w:rsidRPr="00662DD3">
        <w:rPr>
          <w:bCs/>
          <w:sz w:val="22"/>
          <w:szCs w:val="22"/>
          <w:lang w:val="en-US"/>
        </w:rPr>
        <w:t xml:space="preserve"> – LOT 3</w:t>
      </w:r>
    </w:p>
    <w:p w14:paraId="50FA48B9" w14:textId="77777777" w:rsidR="002139C6" w:rsidRPr="00662DD3" w:rsidRDefault="002139C6" w:rsidP="003900DF">
      <w:pPr>
        <w:pStyle w:val="PRAGHeading2"/>
        <w:rPr>
          <w:rStyle w:val="a6"/>
          <w:sz w:val="22"/>
          <w:szCs w:val="22"/>
          <w:lang w:val="en-US"/>
        </w:rPr>
      </w:pPr>
      <w:r w:rsidRPr="00662DD3">
        <w:rPr>
          <w:rStyle w:val="a6"/>
          <w:sz w:val="22"/>
          <w:szCs w:val="22"/>
          <w:lang w:val="en-US"/>
        </w:rPr>
        <w:t>Procedure</w:t>
      </w:r>
    </w:p>
    <w:p w14:paraId="2CC4B3DB" w14:textId="1733998B" w:rsidR="00B76C69" w:rsidRPr="00662DD3" w:rsidRDefault="00ED60CD" w:rsidP="003900DF">
      <w:pPr>
        <w:pStyle w:val="PRAGHeading2"/>
        <w:numPr>
          <w:ilvl w:val="0"/>
          <w:numId w:val="0"/>
        </w:numPr>
        <w:ind w:left="709"/>
        <w:rPr>
          <w:sz w:val="22"/>
          <w:szCs w:val="22"/>
          <w:lang w:val="en-US"/>
        </w:rPr>
      </w:pPr>
      <w:r w:rsidRPr="00662DD3">
        <w:rPr>
          <w:sz w:val="22"/>
          <w:szCs w:val="22"/>
          <w:lang w:val="en-US"/>
        </w:rPr>
        <w:t>Simplified</w:t>
      </w:r>
    </w:p>
    <w:p w14:paraId="11349973" w14:textId="77777777" w:rsidR="002139C6" w:rsidRPr="00662DD3" w:rsidRDefault="002139C6" w:rsidP="003900DF">
      <w:pPr>
        <w:pStyle w:val="PRAGHeading2"/>
        <w:rPr>
          <w:rStyle w:val="a6"/>
          <w:sz w:val="22"/>
          <w:szCs w:val="22"/>
          <w:lang w:val="en-US"/>
        </w:rPr>
      </w:pPr>
      <w:proofErr w:type="spellStart"/>
      <w:r w:rsidRPr="00662DD3">
        <w:rPr>
          <w:rStyle w:val="a6"/>
          <w:sz w:val="22"/>
          <w:szCs w:val="22"/>
          <w:lang w:val="en-US"/>
        </w:rPr>
        <w:t>Programme</w:t>
      </w:r>
      <w:proofErr w:type="spellEnd"/>
      <w:r w:rsidR="00A95184" w:rsidRPr="00662DD3">
        <w:rPr>
          <w:rStyle w:val="a6"/>
          <w:sz w:val="22"/>
          <w:szCs w:val="22"/>
          <w:lang w:val="en-US"/>
        </w:rPr>
        <w:t xml:space="preserve"> title</w:t>
      </w:r>
    </w:p>
    <w:p w14:paraId="29EF8FCB" w14:textId="532C1A4E" w:rsidR="00A95184" w:rsidRPr="00662DD3" w:rsidRDefault="009438A5" w:rsidP="003900DF">
      <w:pPr>
        <w:pStyle w:val="PRAGHeading2"/>
        <w:numPr>
          <w:ilvl w:val="0"/>
          <w:numId w:val="0"/>
        </w:numPr>
        <w:ind w:left="709"/>
        <w:jc w:val="both"/>
        <w:rPr>
          <w:sz w:val="22"/>
          <w:szCs w:val="22"/>
          <w:lang w:val="en-US"/>
        </w:rPr>
      </w:pPr>
      <w:proofErr w:type="spellStart"/>
      <w:r w:rsidRPr="00662DD3">
        <w:rPr>
          <w:bCs/>
          <w:iCs/>
          <w:sz w:val="22"/>
          <w:szCs w:val="22"/>
          <w:lang w:val="en-US"/>
        </w:rPr>
        <w:t>Interreg</w:t>
      </w:r>
      <w:proofErr w:type="spellEnd"/>
      <w:r w:rsidRPr="00662DD3">
        <w:rPr>
          <w:bCs/>
          <w:iCs/>
          <w:sz w:val="22"/>
          <w:szCs w:val="22"/>
          <w:lang w:val="en-US"/>
        </w:rPr>
        <w:t xml:space="preserve">-IPA CBC </w:t>
      </w:r>
      <w:proofErr w:type="spellStart"/>
      <w:r w:rsidRPr="00662DD3">
        <w:rPr>
          <w:bCs/>
          <w:iCs/>
          <w:sz w:val="22"/>
          <w:szCs w:val="22"/>
          <w:lang w:val="en-US"/>
        </w:rPr>
        <w:t>Programme</w:t>
      </w:r>
      <w:proofErr w:type="spellEnd"/>
      <w:r w:rsidRPr="00662DD3">
        <w:rPr>
          <w:bCs/>
          <w:iCs/>
          <w:sz w:val="22"/>
          <w:szCs w:val="22"/>
          <w:lang w:val="en-US"/>
        </w:rPr>
        <w:t xml:space="preserve"> Bulgaria-</w:t>
      </w:r>
      <w:r w:rsidR="00DE5126" w:rsidRPr="00662DD3">
        <w:rPr>
          <w:bCs/>
          <w:iCs/>
          <w:sz w:val="22"/>
          <w:szCs w:val="22"/>
          <w:lang w:val="en-US"/>
        </w:rPr>
        <w:t>Serbia</w:t>
      </w:r>
      <w:r w:rsidRPr="00662DD3">
        <w:rPr>
          <w:bCs/>
          <w:iCs/>
          <w:sz w:val="22"/>
          <w:szCs w:val="22"/>
          <w:lang w:val="en-US"/>
        </w:rPr>
        <w:t xml:space="preserve"> </w:t>
      </w:r>
      <w:proofErr w:type="spellStart"/>
      <w:r w:rsidRPr="00662DD3">
        <w:rPr>
          <w:bCs/>
          <w:iCs/>
          <w:sz w:val="22"/>
          <w:szCs w:val="22"/>
          <w:lang w:val="en-US"/>
        </w:rPr>
        <w:t>Programme</w:t>
      </w:r>
      <w:proofErr w:type="spellEnd"/>
      <w:r w:rsidRPr="00662DD3">
        <w:rPr>
          <w:bCs/>
          <w:iCs/>
          <w:sz w:val="22"/>
          <w:szCs w:val="22"/>
          <w:lang w:val="en-US"/>
        </w:rPr>
        <w:t xml:space="preserve"> 2014-2020</w:t>
      </w:r>
      <w:r w:rsidRPr="00662DD3">
        <w:rPr>
          <w:bCs/>
          <w:sz w:val="22"/>
          <w:szCs w:val="22"/>
          <w:lang w:val="en-US"/>
        </w:rPr>
        <w:t xml:space="preserve">, </w:t>
      </w:r>
      <w:r w:rsidR="00DE5126" w:rsidRPr="00662DD3">
        <w:rPr>
          <w:iCs/>
          <w:sz w:val="22"/>
          <w:szCs w:val="22"/>
          <w:lang w:val="en-US"/>
        </w:rPr>
        <w:t xml:space="preserve">CCI </w:t>
      </w:r>
      <w:r w:rsidR="00764986" w:rsidRPr="00662DD3">
        <w:rPr>
          <w:iCs/>
          <w:sz w:val="22"/>
          <w:szCs w:val="22"/>
          <w:lang w:val="en-US"/>
        </w:rPr>
        <w:t xml:space="preserve">2014TC16I5CB007, adopted by the European Commission with Decision No </w:t>
      </w:r>
      <w:proofErr w:type="gramStart"/>
      <w:r w:rsidR="00764986" w:rsidRPr="00662DD3">
        <w:rPr>
          <w:iCs/>
          <w:sz w:val="22"/>
          <w:szCs w:val="22"/>
          <w:lang w:val="en-US"/>
        </w:rPr>
        <w:t>C(</w:t>
      </w:r>
      <w:proofErr w:type="gramEnd"/>
      <w:r w:rsidR="00764986" w:rsidRPr="00662DD3">
        <w:rPr>
          <w:iCs/>
          <w:sz w:val="22"/>
          <w:szCs w:val="22"/>
          <w:lang w:val="en-US"/>
        </w:rPr>
        <w:t>2015) 5444 on 30 July 2015</w:t>
      </w:r>
      <w:r w:rsidR="009F7C3F" w:rsidRPr="00662DD3">
        <w:rPr>
          <w:iCs/>
          <w:sz w:val="22"/>
          <w:szCs w:val="22"/>
          <w:lang w:val="en-US"/>
        </w:rPr>
        <w:t>.</w:t>
      </w:r>
    </w:p>
    <w:p w14:paraId="666C2F5E" w14:textId="77777777" w:rsidR="002139C6" w:rsidRPr="00662DD3" w:rsidRDefault="002139C6" w:rsidP="003900DF">
      <w:pPr>
        <w:pStyle w:val="PRAGHeading2"/>
        <w:jc w:val="both"/>
        <w:rPr>
          <w:rStyle w:val="a6"/>
          <w:sz w:val="22"/>
          <w:szCs w:val="22"/>
          <w:lang w:val="en-US"/>
        </w:rPr>
      </w:pPr>
      <w:r w:rsidRPr="00662DD3">
        <w:rPr>
          <w:rStyle w:val="a6"/>
          <w:sz w:val="22"/>
          <w:szCs w:val="22"/>
          <w:lang w:val="en-US"/>
        </w:rPr>
        <w:t>Financing</w:t>
      </w:r>
    </w:p>
    <w:p w14:paraId="5F621412" w14:textId="671070F9" w:rsidR="001709CB" w:rsidRPr="00662DD3" w:rsidRDefault="001709CB" w:rsidP="003900DF">
      <w:pPr>
        <w:spacing w:before="240"/>
        <w:ind w:left="720"/>
        <w:jc w:val="both"/>
        <w:rPr>
          <w:sz w:val="22"/>
          <w:szCs w:val="22"/>
          <w:lang w:val="en-US"/>
        </w:rPr>
      </w:pPr>
      <w:r w:rsidRPr="00662DD3">
        <w:rPr>
          <w:sz w:val="22"/>
          <w:szCs w:val="22"/>
          <w:lang w:val="en-US"/>
        </w:rPr>
        <w:t xml:space="preserve">The project is co-financed by the European Union, in accordance with the rules of </w:t>
      </w:r>
      <w:proofErr w:type="spellStart"/>
      <w:r w:rsidR="009438A5" w:rsidRPr="00662DD3">
        <w:rPr>
          <w:bCs/>
          <w:iCs/>
          <w:sz w:val="22"/>
          <w:szCs w:val="22"/>
          <w:lang w:val="en-US"/>
        </w:rPr>
        <w:t>Interreg</w:t>
      </w:r>
      <w:proofErr w:type="spellEnd"/>
      <w:r w:rsidR="009438A5" w:rsidRPr="00662DD3">
        <w:rPr>
          <w:bCs/>
          <w:iCs/>
          <w:sz w:val="22"/>
          <w:szCs w:val="22"/>
          <w:lang w:val="en-US"/>
        </w:rPr>
        <w:t xml:space="preserve">-IPA CBC </w:t>
      </w:r>
      <w:proofErr w:type="spellStart"/>
      <w:r w:rsidR="009438A5" w:rsidRPr="00662DD3">
        <w:rPr>
          <w:bCs/>
          <w:iCs/>
          <w:sz w:val="22"/>
          <w:szCs w:val="22"/>
          <w:lang w:val="en-US"/>
        </w:rPr>
        <w:t>Programme</w:t>
      </w:r>
      <w:proofErr w:type="spellEnd"/>
      <w:r w:rsidR="009438A5" w:rsidRPr="00662DD3">
        <w:rPr>
          <w:bCs/>
          <w:iCs/>
          <w:sz w:val="22"/>
          <w:szCs w:val="22"/>
          <w:lang w:val="en-US"/>
        </w:rPr>
        <w:t xml:space="preserve"> Bulgaria-</w:t>
      </w:r>
      <w:bookmarkStart w:id="0" w:name="_Hlk54613157"/>
      <w:r w:rsidR="008954CC" w:rsidRPr="00662DD3">
        <w:rPr>
          <w:bCs/>
          <w:iCs/>
          <w:sz w:val="22"/>
          <w:szCs w:val="22"/>
          <w:lang w:val="en-US"/>
        </w:rPr>
        <w:t xml:space="preserve">Serbia </w:t>
      </w:r>
      <w:proofErr w:type="spellStart"/>
      <w:r w:rsidR="008954CC" w:rsidRPr="00662DD3">
        <w:rPr>
          <w:bCs/>
          <w:iCs/>
          <w:sz w:val="22"/>
          <w:szCs w:val="22"/>
          <w:lang w:val="en-US"/>
        </w:rPr>
        <w:t>Programme</w:t>
      </w:r>
      <w:proofErr w:type="spellEnd"/>
      <w:r w:rsidR="008954CC" w:rsidRPr="00662DD3">
        <w:rPr>
          <w:bCs/>
          <w:iCs/>
          <w:sz w:val="22"/>
          <w:szCs w:val="22"/>
          <w:lang w:val="en-US"/>
        </w:rPr>
        <w:t xml:space="preserve"> 2014-2020</w:t>
      </w:r>
      <w:r w:rsidR="008954CC" w:rsidRPr="00662DD3">
        <w:rPr>
          <w:bCs/>
          <w:sz w:val="22"/>
          <w:szCs w:val="22"/>
          <w:lang w:val="en-US"/>
        </w:rPr>
        <w:t xml:space="preserve">, </w:t>
      </w:r>
      <w:r w:rsidR="008954CC" w:rsidRPr="00662DD3">
        <w:rPr>
          <w:iCs/>
          <w:sz w:val="22"/>
          <w:szCs w:val="22"/>
          <w:lang w:val="en-US"/>
        </w:rPr>
        <w:t xml:space="preserve">CCI </w:t>
      </w:r>
      <w:r w:rsidR="00764986" w:rsidRPr="00662DD3">
        <w:rPr>
          <w:sz w:val="22"/>
          <w:szCs w:val="22"/>
          <w:lang w:val="en-US"/>
        </w:rPr>
        <w:t>2014TC16I5CB007</w:t>
      </w:r>
      <w:bookmarkEnd w:id="0"/>
      <w:r w:rsidR="00764986" w:rsidRPr="00662DD3">
        <w:rPr>
          <w:sz w:val="22"/>
          <w:szCs w:val="22"/>
          <w:lang w:val="en-US"/>
        </w:rPr>
        <w:t xml:space="preserve">, adopted by the European Commission with Decision No </w:t>
      </w:r>
      <w:proofErr w:type="gramStart"/>
      <w:r w:rsidR="00764986" w:rsidRPr="00662DD3">
        <w:rPr>
          <w:sz w:val="22"/>
          <w:szCs w:val="22"/>
          <w:lang w:val="en-US"/>
        </w:rPr>
        <w:t>C(</w:t>
      </w:r>
      <w:proofErr w:type="gramEnd"/>
      <w:r w:rsidR="00764986" w:rsidRPr="00662DD3">
        <w:rPr>
          <w:sz w:val="22"/>
          <w:szCs w:val="22"/>
          <w:lang w:val="en-US"/>
        </w:rPr>
        <w:t>2015) 5444 on 30 July 2015</w:t>
      </w:r>
      <w:r w:rsidR="009438A5" w:rsidRPr="00662DD3">
        <w:rPr>
          <w:sz w:val="22"/>
          <w:szCs w:val="22"/>
          <w:lang w:val="en-US"/>
        </w:rPr>
        <w:t>.</w:t>
      </w:r>
    </w:p>
    <w:p w14:paraId="50A8D818" w14:textId="14B43CA1" w:rsidR="002139C6" w:rsidRPr="00662DD3" w:rsidRDefault="001709CB" w:rsidP="003900DF">
      <w:pPr>
        <w:spacing w:before="240"/>
        <w:ind w:left="720"/>
        <w:jc w:val="both"/>
        <w:rPr>
          <w:sz w:val="22"/>
          <w:szCs w:val="22"/>
          <w:lang w:val="en-US"/>
        </w:rPr>
      </w:pPr>
      <w:r w:rsidRPr="00662DD3">
        <w:rPr>
          <w:sz w:val="22"/>
          <w:szCs w:val="22"/>
          <w:lang w:val="en-US"/>
        </w:rPr>
        <w:t xml:space="preserve">The project is co-financed by the national budget of the Republic of Bulgaria and </w:t>
      </w:r>
      <w:r w:rsidR="00772880" w:rsidRPr="00662DD3">
        <w:rPr>
          <w:sz w:val="22"/>
          <w:szCs w:val="22"/>
          <w:lang w:val="en-US"/>
        </w:rPr>
        <w:t>with own co-financing of the Serbian beneficiary</w:t>
      </w:r>
      <w:r w:rsidRPr="00662DD3">
        <w:rPr>
          <w:sz w:val="22"/>
          <w:szCs w:val="22"/>
          <w:lang w:val="en-US"/>
        </w:rPr>
        <w:t>.</w:t>
      </w:r>
    </w:p>
    <w:p w14:paraId="7876FD96" w14:textId="77777777" w:rsidR="002139C6" w:rsidRPr="00662DD3" w:rsidRDefault="002139C6" w:rsidP="003900DF">
      <w:pPr>
        <w:pStyle w:val="PRAGHeading2"/>
        <w:jc w:val="both"/>
        <w:rPr>
          <w:rStyle w:val="a6"/>
          <w:sz w:val="22"/>
          <w:szCs w:val="22"/>
          <w:lang w:val="en-US"/>
        </w:rPr>
      </w:pPr>
      <w:r w:rsidRPr="00662DD3">
        <w:rPr>
          <w:rStyle w:val="a6"/>
          <w:sz w:val="22"/>
          <w:szCs w:val="22"/>
          <w:lang w:val="en-US"/>
        </w:rPr>
        <w:t xml:space="preserve">Contracting </w:t>
      </w:r>
      <w:r w:rsidR="00391F9F" w:rsidRPr="00662DD3">
        <w:rPr>
          <w:rStyle w:val="a6"/>
          <w:sz w:val="22"/>
          <w:szCs w:val="22"/>
          <w:lang w:val="en-US"/>
        </w:rPr>
        <w:t>a</w:t>
      </w:r>
      <w:r w:rsidRPr="00662DD3">
        <w:rPr>
          <w:rStyle w:val="a6"/>
          <w:sz w:val="22"/>
          <w:szCs w:val="22"/>
          <w:lang w:val="en-US"/>
        </w:rPr>
        <w:t>uthority</w:t>
      </w:r>
    </w:p>
    <w:p w14:paraId="07EB60C7" w14:textId="0F704904" w:rsidR="009C65D6" w:rsidRPr="00662DD3" w:rsidRDefault="009C65D6" w:rsidP="003900DF">
      <w:pPr>
        <w:snapToGrid w:val="0"/>
        <w:ind w:left="360"/>
        <w:jc w:val="both"/>
        <w:rPr>
          <w:b/>
          <w:sz w:val="22"/>
          <w:szCs w:val="22"/>
          <w:lang w:val="en-US"/>
        </w:rPr>
      </w:pPr>
      <w:r w:rsidRPr="00662DD3">
        <w:rPr>
          <w:sz w:val="22"/>
          <w:szCs w:val="22"/>
          <w:lang w:val="en-US"/>
        </w:rPr>
        <w:tab/>
      </w:r>
      <w:r w:rsidR="001709CB" w:rsidRPr="00662DD3">
        <w:rPr>
          <w:b/>
          <w:sz w:val="22"/>
          <w:szCs w:val="22"/>
          <w:lang w:val="en-US"/>
        </w:rPr>
        <w:t xml:space="preserve"> MUNICIPALITY OF </w:t>
      </w:r>
      <w:r w:rsidR="008954CC" w:rsidRPr="00662DD3">
        <w:rPr>
          <w:b/>
          <w:sz w:val="22"/>
          <w:szCs w:val="22"/>
          <w:lang w:val="en-US"/>
        </w:rPr>
        <w:t>BOTEVGRAD</w:t>
      </w:r>
    </w:p>
    <w:p w14:paraId="6BEC5A61" w14:textId="43CFC0A7" w:rsidR="006C703D" w:rsidRPr="00662DD3" w:rsidRDefault="001709CB" w:rsidP="003900DF">
      <w:pPr>
        <w:pStyle w:val="Blockquote"/>
        <w:ind w:left="709"/>
        <w:jc w:val="both"/>
        <w:rPr>
          <w:sz w:val="22"/>
          <w:szCs w:val="22"/>
          <w:lang w:val="en-US"/>
        </w:rPr>
      </w:pPr>
      <w:r w:rsidRPr="00662DD3">
        <w:rPr>
          <w:sz w:val="22"/>
          <w:szCs w:val="22"/>
          <w:lang w:val="en-US"/>
        </w:rPr>
        <w:t xml:space="preserve">Address: </w:t>
      </w:r>
      <w:r w:rsidR="008954CC" w:rsidRPr="00662DD3">
        <w:rPr>
          <w:sz w:val="22"/>
          <w:lang w:val="en-US"/>
        </w:rPr>
        <w:t>13 "</w:t>
      </w:r>
      <w:proofErr w:type="spellStart"/>
      <w:r w:rsidR="008954CC" w:rsidRPr="00662DD3">
        <w:rPr>
          <w:sz w:val="22"/>
          <w:lang w:val="en-US"/>
        </w:rPr>
        <w:t>Osvobozhdenie</w:t>
      </w:r>
      <w:proofErr w:type="spellEnd"/>
      <w:r w:rsidR="008954CC" w:rsidRPr="00662DD3">
        <w:rPr>
          <w:sz w:val="22"/>
          <w:lang w:val="en-US"/>
        </w:rPr>
        <w:t xml:space="preserve">" square, </w:t>
      </w:r>
      <w:proofErr w:type="spellStart"/>
      <w:r w:rsidR="008954CC" w:rsidRPr="00662DD3">
        <w:rPr>
          <w:sz w:val="22"/>
          <w:lang w:val="en-US"/>
        </w:rPr>
        <w:t>Botevgrad</w:t>
      </w:r>
      <w:proofErr w:type="spellEnd"/>
      <w:r w:rsidR="008954CC" w:rsidRPr="00662DD3">
        <w:rPr>
          <w:sz w:val="22"/>
          <w:lang w:val="en-US"/>
        </w:rPr>
        <w:t>, postal code 2140</w:t>
      </w:r>
      <w:r w:rsidR="008954CC" w:rsidRPr="00662DD3">
        <w:rPr>
          <w:bCs/>
          <w:sz w:val="22"/>
          <w:lang w:val="en-US"/>
        </w:rPr>
        <w:t>, Republic of Bulgaria</w:t>
      </w:r>
    </w:p>
    <w:p w14:paraId="65541BE5" w14:textId="423712D6" w:rsidR="002139C6" w:rsidRPr="00662DD3" w:rsidRDefault="00764986" w:rsidP="003900DF">
      <w:pPr>
        <w:ind w:left="360"/>
        <w:jc w:val="center"/>
        <w:rPr>
          <w:rStyle w:val="a6"/>
          <w:sz w:val="22"/>
          <w:szCs w:val="22"/>
          <w:lang w:val="en-US"/>
        </w:rPr>
      </w:pPr>
      <w:r w:rsidRPr="00662DD3">
        <w:rPr>
          <w:b/>
          <w:noProof/>
          <w:snapToGrid/>
          <w:sz w:val="22"/>
          <w:szCs w:val="22"/>
          <w:lang w:val="bg-BG" w:eastAsia="bg-BG"/>
        </w:rPr>
        <mc:AlternateContent>
          <mc:Choice Requires="wps">
            <w:drawing>
              <wp:anchor distT="0" distB="0" distL="114300" distR="114300" simplePos="0" relativeHeight="251659776" behindDoc="0" locked="0" layoutInCell="0" allowOverlap="1" wp14:anchorId="3C8BCB18" wp14:editId="3C5273F3">
                <wp:simplePos x="0" y="0"/>
                <wp:positionH relativeFrom="column">
                  <wp:posOffset>28575</wp:posOffset>
                </wp:positionH>
                <wp:positionV relativeFrom="paragraph">
                  <wp:posOffset>-5715</wp:posOffset>
                </wp:positionV>
                <wp:extent cx="5943600" cy="63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13FF6D42"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b7+VQIAALI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" o:allowincell="f" strokecolor="#d4d4d4" strokeweight="1.75pt">
                <v:shadow on="t" offset="0,-1pt"/>
              </v:line>
            </w:pict>
          </mc:Fallback>
        </mc:AlternateContent>
      </w:r>
      <w:r w:rsidR="002139C6" w:rsidRPr="00662DD3">
        <w:rPr>
          <w:rStyle w:val="a6"/>
          <w:sz w:val="22"/>
          <w:szCs w:val="22"/>
          <w:lang w:val="en-US"/>
        </w:rPr>
        <w:t>CONTRACT SPECIFICATIONS</w:t>
      </w:r>
    </w:p>
    <w:p w14:paraId="66BF0651" w14:textId="77777777" w:rsidR="00D62A71" w:rsidRPr="00662DD3" w:rsidRDefault="00D62A71" w:rsidP="003900DF">
      <w:pPr>
        <w:pStyle w:val="PRAGHeading2"/>
        <w:rPr>
          <w:rStyle w:val="a6"/>
          <w:sz w:val="22"/>
          <w:szCs w:val="22"/>
          <w:lang w:val="en-US"/>
        </w:rPr>
      </w:pPr>
      <w:r w:rsidRPr="00662DD3">
        <w:rPr>
          <w:rStyle w:val="a6"/>
          <w:sz w:val="22"/>
          <w:szCs w:val="22"/>
          <w:lang w:val="en-US"/>
        </w:rPr>
        <w:t>Nature of contract</w:t>
      </w:r>
    </w:p>
    <w:p w14:paraId="4962415E" w14:textId="77777777" w:rsidR="00D62A71" w:rsidRPr="00662DD3" w:rsidRDefault="00AD0BF2" w:rsidP="003900DF">
      <w:pPr>
        <w:pStyle w:val="PRAGHeading2"/>
        <w:numPr>
          <w:ilvl w:val="0"/>
          <w:numId w:val="0"/>
        </w:numPr>
        <w:ind w:left="720"/>
        <w:rPr>
          <w:rStyle w:val="a6"/>
          <w:b w:val="0"/>
          <w:sz w:val="22"/>
          <w:szCs w:val="22"/>
          <w:lang w:val="en-US"/>
        </w:rPr>
      </w:pPr>
      <w:r w:rsidRPr="00662DD3">
        <w:rPr>
          <w:rStyle w:val="a6"/>
          <w:b w:val="0"/>
          <w:sz w:val="22"/>
          <w:szCs w:val="22"/>
          <w:lang w:val="en-US"/>
        </w:rPr>
        <w:t>Lump-sum</w:t>
      </w:r>
    </w:p>
    <w:p w14:paraId="59729B39" w14:textId="77777777" w:rsidR="002139C6" w:rsidRPr="00662DD3" w:rsidRDefault="002139C6" w:rsidP="003900DF">
      <w:pPr>
        <w:pStyle w:val="PRAGHeading2"/>
        <w:rPr>
          <w:rStyle w:val="a6"/>
          <w:sz w:val="22"/>
          <w:szCs w:val="22"/>
          <w:lang w:val="en-US"/>
        </w:rPr>
      </w:pPr>
      <w:r w:rsidRPr="00662DD3">
        <w:rPr>
          <w:rStyle w:val="a6"/>
          <w:sz w:val="22"/>
          <w:szCs w:val="22"/>
          <w:lang w:val="en-US"/>
        </w:rPr>
        <w:t>Description of the contract</w:t>
      </w:r>
    </w:p>
    <w:p w14:paraId="71C855FA" w14:textId="0E283AC9" w:rsidR="001B4FD9" w:rsidRPr="00662DD3" w:rsidRDefault="001B4FD9" w:rsidP="0066036C">
      <w:pPr>
        <w:pStyle w:val="PRAGHeading2"/>
        <w:numPr>
          <w:ilvl w:val="0"/>
          <w:numId w:val="0"/>
        </w:numPr>
        <w:ind w:firstLine="720"/>
        <w:jc w:val="both"/>
        <w:rPr>
          <w:rStyle w:val="a6"/>
          <w:b w:val="0"/>
          <w:sz w:val="22"/>
          <w:szCs w:val="22"/>
          <w:lang w:val="en-US"/>
        </w:rPr>
      </w:pPr>
      <w:r w:rsidRPr="00662DD3">
        <w:rPr>
          <w:rStyle w:val="a6"/>
          <w:sz w:val="22"/>
          <w:szCs w:val="22"/>
          <w:lang w:val="en-US"/>
        </w:rPr>
        <w:t>For Lot 1:</w:t>
      </w:r>
      <w:r w:rsidRPr="00662DD3">
        <w:rPr>
          <w:rStyle w:val="a6"/>
          <w:b w:val="0"/>
          <w:sz w:val="22"/>
          <w:szCs w:val="22"/>
          <w:lang w:val="en-US"/>
        </w:rPr>
        <w:t xml:space="preserve"> </w:t>
      </w:r>
      <w:r w:rsidR="005B3DB6" w:rsidRPr="00662DD3">
        <w:rPr>
          <w:rStyle w:val="a6"/>
          <w:b w:val="0"/>
          <w:sz w:val="22"/>
          <w:szCs w:val="22"/>
          <w:lang w:val="en-US"/>
        </w:rPr>
        <w:t>The 30-meter Clock Tower is the highest in the Balkan Peninsula and it is on the list of 100 national tourist sites, architectural and cultural monument of national significance. The expedition of the Tower aims to socialize it and to bring it from a stationary tourist site to an "Alternative Scene".</w:t>
      </w:r>
      <w:r w:rsidR="00CB64C8" w:rsidRPr="00662DD3">
        <w:rPr>
          <w:rStyle w:val="a6"/>
          <w:b w:val="0"/>
          <w:sz w:val="22"/>
          <w:szCs w:val="22"/>
          <w:lang w:val="en-US"/>
        </w:rPr>
        <w:t xml:space="preserve"> </w:t>
      </w:r>
      <w:r w:rsidR="00261F1C" w:rsidRPr="00662DD3">
        <w:rPr>
          <w:rStyle w:val="a6"/>
          <w:b w:val="0"/>
          <w:sz w:val="22"/>
          <w:szCs w:val="22"/>
          <w:lang w:val="en-US"/>
        </w:rPr>
        <w:t xml:space="preserve">The </w:t>
      </w:r>
      <w:r w:rsidR="00261F1C" w:rsidRPr="00662DD3">
        <w:rPr>
          <w:rStyle w:val="a6"/>
          <w:b w:val="0"/>
          <w:sz w:val="22"/>
          <w:szCs w:val="22"/>
          <w:lang w:val="en-US"/>
        </w:rPr>
        <w:lastRenderedPageBreak/>
        <w:t xml:space="preserve">construction activities include inside and outside repair and reconstruction. The inside works include change repair of the electrical system, replacement of flooring in the reception area and impregnation of the wooden structure inside, ensuring of </w:t>
      </w:r>
      <w:r w:rsidR="00403618" w:rsidRPr="00662DD3">
        <w:rPr>
          <w:rStyle w:val="a6"/>
          <w:b w:val="0"/>
          <w:sz w:val="22"/>
          <w:szCs w:val="22"/>
          <w:lang w:val="en-US"/>
        </w:rPr>
        <w:t xml:space="preserve">secure access inside and </w:t>
      </w:r>
      <w:r w:rsidR="00261F1C" w:rsidRPr="00662DD3">
        <w:rPr>
          <w:rStyle w:val="a6"/>
          <w:b w:val="0"/>
          <w:sz w:val="22"/>
          <w:szCs w:val="22"/>
          <w:lang w:val="en-US"/>
        </w:rPr>
        <w:t>access to</w:t>
      </w:r>
      <w:r w:rsidR="00A3773A" w:rsidRPr="00662DD3">
        <w:rPr>
          <w:rStyle w:val="a6"/>
          <w:b w:val="0"/>
          <w:sz w:val="22"/>
          <w:szCs w:val="22"/>
          <w:lang w:val="en-US"/>
        </w:rPr>
        <w:t xml:space="preserve"> people with</w:t>
      </w:r>
      <w:r w:rsidR="00261F1C" w:rsidRPr="00662DD3">
        <w:rPr>
          <w:rStyle w:val="a6"/>
          <w:b w:val="0"/>
          <w:sz w:val="22"/>
          <w:szCs w:val="22"/>
          <w:lang w:val="en-US"/>
        </w:rPr>
        <w:t xml:space="preserve"> disabilities</w:t>
      </w:r>
      <w:r w:rsidR="00403618" w:rsidRPr="00662DD3">
        <w:rPr>
          <w:rStyle w:val="a6"/>
          <w:b w:val="0"/>
          <w:sz w:val="22"/>
          <w:szCs w:val="22"/>
          <w:lang w:val="en-US"/>
        </w:rPr>
        <w:t xml:space="preserve">, </w:t>
      </w:r>
      <w:r w:rsidR="0031334B" w:rsidRPr="00662DD3">
        <w:rPr>
          <w:rStyle w:val="a6"/>
          <w:b w:val="0"/>
          <w:sz w:val="22"/>
          <w:szCs w:val="22"/>
          <w:lang w:val="en-US"/>
        </w:rPr>
        <w:t>providing of conditions for a</w:t>
      </w:r>
      <w:r w:rsidR="00403618" w:rsidRPr="00662DD3">
        <w:rPr>
          <w:rStyle w:val="a6"/>
          <w:b w:val="0"/>
          <w:sz w:val="22"/>
          <w:szCs w:val="22"/>
          <w:lang w:val="en-US"/>
        </w:rPr>
        <w:t xml:space="preserve"> panoramic view from the highest platform of the tower.</w:t>
      </w:r>
      <w:r w:rsidR="00261F1C" w:rsidRPr="00662DD3">
        <w:rPr>
          <w:rStyle w:val="a6"/>
          <w:b w:val="0"/>
          <w:sz w:val="22"/>
          <w:szCs w:val="22"/>
          <w:lang w:val="en-US"/>
        </w:rPr>
        <w:t xml:space="preserve"> </w:t>
      </w:r>
      <w:r w:rsidR="00EB414C" w:rsidRPr="00662DD3">
        <w:rPr>
          <w:rStyle w:val="a6"/>
          <w:b w:val="0"/>
          <w:sz w:val="22"/>
          <w:szCs w:val="22"/>
          <w:lang w:val="en-US"/>
        </w:rPr>
        <w:t>Outside activities include r</w:t>
      </w:r>
      <w:r w:rsidR="00403618" w:rsidRPr="00662DD3">
        <w:rPr>
          <w:rStyle w:val="a6"/>
          <w:b w:val="0"/>
          <w:sz w:val="22"/>
          <w:szCs w:val="22"/>
          <w:lang w:val="en-US"/>
        </w:rPr>
        <w:t xml:space="preserve">enewal of the façade artistic </w:t>
      </w:r>
      <w:r w:rsidR="00EB414C" w:rsidRPr="00662DD3">
        <w:rPr>
          <w:rStyle w:val="a6"/>
          <w:b w:val="0"/>
          <w:sz w:val="22"/>
          <w:szCs w:val="22"/>
          <w:lang w:val="en-US"/>
        </w:rPr>
        <w:t xml:space="preserve">lighting, </w:t>
      </w:r>
      <w:r w:rsidR="005D410E" w:rsidRPr="00662DD3">
        <w:rPr>
          <w:rStyle w:val="a6"/>
          <w:b w:val="0"/>
          <w:sz w:val="22"/>
          <w:szCs w:val="22"/>
          <w:lang w:val="en-US"/>
        </w:rPr>
        <w:t xml:space="preserve">placing of electrical panels outside, ensuring an access way from the town square to the tower with a small bridge. </w:t>
      </w:r>
    </w:p>
    <w:p w14:paraId="7CF3EBC4" w14:textId="495CF535" w:rsidR="001B4FD9" w:rsidRPr="00662DD3" w:rsidRDefault="001B4FD9" w:rsidP="0066036C">
      <w:pPr>
        <w:pStyle w:val="PRAGHeading2"/>
        <w:numPr>
          <w:ilvl w:val="0"/>
          <w:numId w:val="0"/>
        </w:numPr>
        <w:ind w:firstLine="720"/>
        <w:jc w:val="both"/>
        <w:rPr>
          <w:rStyle w:val="a6"/>
          <w:b w:val="0"/>
          <w:sz w:val="22"/>
          <w:szCs w:val="22"/>
          <w:lang w:val="en-US"/>
        </w:rPr>
      </w:pPr>
      <w:r w:rsidRPr="00662DD3">
        <w:rPr>
          <w:rStyle w:val="a6"/>
          <w:sz w:val="22"/>
          <w:szCs w:val="22"/>
          <w:lang w:val="en-US"/>
        </w:rPr>
        <w:t>Lot 2:</w:t>
      </w:r>
      <w:r w:rsidRPr="00662DD3">
        <w:rPr>
          <w:rStyle w:val="a6"/>
          <w:b w:val="0"/>
          <w:sz w:val="22"/>
          <w:szCs w:val="22"/>
          <w:lang w:val="en-US"/>
        </w:rPr>
        <w:t xml:space="preserve"> </w:t>
      </w:r>
      <w:r w:rsidR="005B3DB6" w:rsidRPr="00662DD3">
        <w:rPr>
          <w:rStyle w:val="a6"/>
          <w:b w:val="0"/>
          <w:sz w:val="22"/>
          <w:szCs w:val="22"/>
          <w:lang w:val="en-US"/>
        </w:rPr>
        <w:t xml:space="preserve">The Promotion Center will provide both a mechanism and a medium for the communication between the different cultural and information nuclei on the territory of </w:t>
      </w:r>
      <w:proofErr w:type="spellStart"/>
      <w:r w:rsidR="005B3DB6" w:rsidRPr="00662DD3">
        <w:rPr>
          <w:rStyle w:val="a6"/>
          <w:b w:val="0"/>
          <w:sz w:val="22"/>
          <w:szCs w:val="22"/>
          <w:lang w:val="en-US"/>
        </w:rPr>
        <w:t>Botevgrad</w:t>
      </w:r>
      <w:proofErr w:type="spellEnd"/>
      <w:r w:rsidR="005B3DB6" w:rsidRPr="00662DD3">
        <w:rPr>
          <w:rStyle w:val="a6"/>
          <w:b w:val="0"/>
          <w:sz w:val="22"/>
          <w:szCs w:val="22"/>
          <w:lang w:val="en-US"/>
        </w:rPr>
        <w:t xml:space="preserve"> municipality and promotion of the </w:t>
      </w:r>
      <w:proofErr w:type="spellStart"/>
      <w:r w:rsidR="005B3DB6" w:rsidRPr="00662DD3">
        <w:rPr>
          <w:rStyle w:val="a6"/>
          <w:b w:val="0"/>
          <w:sz w:val="22"/>
          <w:szCs w:val="22"/>
          <w:lang w:val="en-US"/>
        </w:rPr>
        <w:t>Botevgrad</w:t>
      </w:r>
      <w:proofErr w:type="spellEnd"/>
      <w:r w:rsidR="005B3DB6" w:rsidRPr="00662DD3">
        <w:rPr>
          <w:rStyle w:val="a6"/>
          <w:b w:val="0"/>
          <w:sz w:val="22"/>
          <w:szCs w:val="22"/>
          <w:lang w:val="en-US"/>
        </w:rPr>
        <w:t xml:space="preserve"> brand in the common European cultural and informational space.</w:t>
      </w:r>
      <w:r w:rsidR="00CB64C8" w:rsidRPr="00662DD3">
        <w:rPr>
          <w:rStyle w:val="a6"/>
          <w:b w:val="0"/>
          <w:sz w:val="22"/>
          <w:szCs w:val="22"/>
          <w:lang w:val="en-US"/>
        </w:rPr>
        <w:t xml:space="preserve"> </w:t>
      </w:r>
      <w:r w:rsidR="008C717E" w:rsidRPr="00662DD3">
        <w:rPr>
          <w:rStyle w:val="a6"/>
          <w:b w:val="0"/>
          <w:sz w:val="22"/>
          <w:szCs w:val="22"/>
          <w:lang w:val="en-US"/>
        </w:rPr>
        <w:t xml:space="preserve">The construction activities include clearing of the internal yard of the municipal </w:t>
      </w:r>
      <w:r w:rsidR="00B31A31" w:rsidRPr="00662DD3">
        <w:rPr>
          <w:rStyle w:val="a6"/>
          <w:b w:val="0"/>
          <w:sz w:val="22"/>
          <w:szCs w:val="22"/>
          <w:lang w:val="en-US"/>
        </w:rPr>
        <w:t xml:space="preserve">building, repair as isolation of flooring and walls, </w:t>
      </w:r>
      <w:r w:rsidR="008C717E" w:rsidRPr="00662DD3">
        <w:rPr>
          <w:rStyle w:val="a6"/>
          <w:b w:val="0"/>
          <w:sz w:val="22"/>
          <w:szCs w:val="22"/>
          <w:lang w:val="en-US"/>
        </w:rPr>
        <w:t>construction of wooden flooring from Siberian larch</w:t>
      </w:r>
      <w:r w:rsidR="00933696" w:rsidRPr="00662DD3">
        <w:rPr>
          <w:rStyle w:val="a6"/>
          <w:b w:val="0"/>
          <w:sz w:val="22"/>
          <w:szCs w:val="22"/>
          <w:lang w:val="en-US"/>
        </w:rPr>
        <w:t xml:space="preserve">, </w:t>
      </w:r>
      <w:r w:rsidR="00B31A31" w:rsidRPr="00662DD3">
        <w:rPr>
          <w:rStyle w:val="a6"/>
          <w:b w:val="0"/>
          <w:sz w:val="22"/>
          <w:szCs w:val="22"/>
          <w:lang w:val="en-US"/>
        </w:rPr>
        <w:t xml:space="preserve">placing of green walls on façade of the building and executing of electrical systems including exterior lighting. </w:t>
      </w:r>
    </w:p>
    <w:p w14:paraId="205050DF" w14:textId="31B121E3" w:rsidR="00631C27" w:rsidRPr="00662DD3" w:rsidRDefault="001B4FD9" w:rsidP="0066036C">
      <w:pPr>
        <w:pStyle w:val="PRAGHeading2"/>
        <w:numPr>
          <w:ilvl w:val="0"/>
          <w:numId w:val="0"/>
        </w:numPr>
        <w:ind w:firstLine="720"/>
        <w:jc w:val="both"/>
        <w:rPr>
          <w:rStyle w:val="a6"/>
          <w:b w:val="0"/>
          <w:sz w:val="22"/>
          <w:szCs w:val="22"/>
          <w:lang w:val="en-US"/>
        </w:rPr>
      </w:pPr>
      <w:r w:rsidRPr="00662DD3">
        <w:rPr>
          <w:rStyle w:val="a6"/>
          <w:sz w:val="22"/>
          <w:szCs w:val="22"/>
          <w:lang w:val="en-US"/>
        </w:rPr>
        <w:t xml:space="preserve">Lot </w:t>
      </w:r>
      <w:proofErr w:type="gramStart"/>
      <w:r w:rsidRPr="00662DD3">
        <w:rPr>
          <w:rStyle w:val="a6"/>
          <w:sz w:val="22"/>
          <w:szCs w:val="22"/>
          <w:lang w:val="en-US"/>
        </w:rPr>
        <w:t>3:</w:t>
      </w:r>
      <w:r w:rsidR="00CB64C8" w:rsidRPr="00662DD3">
        <w:rPr>
          <w:rStyle w:val="a6"/>
          <w:b w:val="0"/>
          <w:sz w:val="22"/>
          <w:szCs w:val="22"/>
          <w:lang w:val="en-US"/>
        </w:rPr>
        <w:t>The</w:t>
      </w:r>
      <w:proofErr w:type="gramEnd"/>
      <w:r w:rsidR="005B3DB6" w:rsidRPr="00662DD3">
        <w:rPr>
          <w:rStyle w:val="a6"/>
          <w:b w:val="0"/>
          <w:sz w:val="22"/>
          <w:szCs w:val="22"/>
          <w:lang w:val="en-US"/>
        </w:rPr>
        <w:t xml:space="preserve"> Open air museum</w:t>
      </w:r>
      <w:r w:rsidR="00CB64C8" w:rsidRPr="00662DD3">
        <w:rPr>
          <w:rStyle w:val="a6"/>
          <w:b w:val="0"/>
          <w:sz w:val="22"/>
          <w:szCs w:val="22"/>
          <w:lang w:val="en-US"/>
        </w:rPr>
        <w:t xml:space="preserve"> will be</w:t>
      </w:r>
      <w:r w:rsidR="005B3DB6" w:rsidRPr="00662DD3">
        <w:rPr>
          <w:rStyle w:val="a6"/>
          <w:b w:val="0"/>
          <w:sz w:val="22"/>
          <w:szCs w:val="22"/>
          <w:lang w:val="en-US"/>
        </w:rPr>
        <w:t xml:space="preserve"> realized externally around the existing building of the museum and includes three sectors - permanent, temporary exposition and lecture </w:t>
      </w:r>
      <w:r w:rsidR="00CB64C8" w:rsidRPr="00662DD3">
        <w:rPr>
          <w:rStyle w:val="a6"/>
          <w:b w:val="0"/>
          <w:sz w:val="22"/>
          <w:szCs w:val="22"/>
          <w:lang w:val="en-US"/>
        </w:rPr>
        <w:t>theatre</w:t>
      </w:r>
      <w:r w:rsidR="005B3DB6" w:rsidRPr="00662DD3">
        <w:rPr>
          <w:rStyle w:val="a6"/>
          <w:b w:val="0"/>
          <w:sz w:val="22"/>
          <w:szCs w:val="22"/>
          <w:lang w:val="en-US"/>
        </w:rPr>
        <w:t xml:space="preserve">. The lecture </w:t>
      </w:r>
      <w:r w:rsidR="00642AF4" w:rsidRPr="00662DD3">
        <w:rPr>
          <w:rStyle w:val="a6"/>
          <w:b w:val="0"/>
          <w:sz w:val="22"/>
          <w:szCs w:val="22"/>
          <w:lang w:val="en-US"/>
        </w:rPr>
        <w:t>space</w:t>
      </w:r>
      <w:r w:rsidR="005B3DB6" w:rsidRPr="00662DD3">
        <w:rPr>
          <w:rStyle w:val="a6"/>
          <w:b w:val="0"/>
          <w:sz w:val="22"/>
          <w:szCs w:val="22"/>
          <w:lang w:val="en-US"/>
        </w:rPr>
        <w:t xml:space="preserve"> will be a place for curating contemporary works of art, meetings, presentations of literary works, events, concerts, performances, individual performances, improvised performances.</w:t>
      </w:r>
      <w:r w:rsidR="00642AF4" w:rsidRPr="00662DD3">
        <w:rPr>
          <w:rStyle w:val="a6"/>
          <w:b w:val="0"/>
          <w:sz w:val="22"/>
          <w:szCs w:val="22"/>
          <w:lang w:val="en-US"/>
        </w:rPr>
        <w:t xml:space="preserve"> The works activities in the temporary exhibition area include building of new electrical network for power supply of lighting, delivery and mounting of platform benches, information boards, tower-shaped display cases, </w:t>
      </w:r>
      <w:r w:rsidR="00631C27" w:rsidRPr="00662DD3">
        <w:rPr>
          <w:rStyle w:val="a6"/>
          <w:b w:val="0"/>
          <w:sz w:val="22"/>
          <w:szCs w:val="22"/>
          <w:lang w:val="en-US"/>
        </w:rPr>
        <w:t xml:space="preserve">laying of new pavements in the area and a bicycle stands. </w:t>
      </w:r>
      <w:r w:rsidR="00215920" w:rsidRPr="00662DD3">
        <w:rPr>
          <w:rStyle w:val="a6"/>
          <w:b w:val="0"/>
          <w:sz w:val="22"/>
          <w:szCs w:val="22"/>
          <w:lang w:val="en-US"/>
        </w:rPr>
        <w:t xml:space="preserve">The works activities in the permanent exhibition and </w:t>
      </w:r>
      <w:proofErr w:type="spellStart"/>
      <w:r w:rsidR="00215920" w:rsidRPr="00662DD3">
        <w:rPr>
          <w:rStyle w:val="a6"/>
          <w:b w:val="0"/>
          <w:sz w:val="22"/>
          <w:szCs w:val="22"/>
          <w:lang w:val="en-US"/>
        </w:rPr>
        <w:t>lectorium</w:t>
      </w:r>
      <w:proofErr w:type="spellEnd"/>
      <w:r w:rsidR="00215920" w:rsidRPr="00662DD3">
        <w:rPr>
          <w:rStyle w:val="a6"/>
          <w:b w:val="0"/>
          <w:sz w:val="22"/>
          <w:szCs w:val="22"/>
          <w:lang w:val="en-US"/>
        </w:rPr>
        <w:t xml:space="preserve"> include removal of the existing fountain, building of new electrical network, laying of </w:t>
      </w:r>
      <w:r w:rsidR="00B30147" w:rsidRPr="00662DD3">
        <w:rPr>
          <w:rStyle w:val="a6"/>
          <w:b w:val="0"/>
          <w:sz w:val="22"/>
          <w:szCs w:val="22"/>
          <w:lang w:val="en-US"/>
        </w:rPr>
        <w:t xml:space="preserve">flooring, delivery and mounting of pedestals for the permanent exhibition, led lighting, information boards, </w:t>
      </w:r>
      <w:r w:rsidR="003D5496" w:rsidRPr="00662DD3">
        <w:rPr>
          <w:rStyle w:val="a6"/>
          <w:b w:val="0"/>
          <w:sz w:val="22"/>
          <w:szCs w:val="22"/>
          <w:lang w:val="en-US"/>
        </w:rPr>
        <w:t>children springboard, concrete tables and chairs, bicycle stands</w:t>
      </w:r>
      <w:r w:rsidR="00B9429E" w:rsidRPr="00662DD3">
        <w:rPr>
          <w:rStyle w:val="a6"/>
          <w:b w:val="0"/>
          <w:sz w:val="22"/>
          <w:szCs w:val="22"/>
          <w:lang w:val="en-US"/>
        </w:rPr>
        <w:t xml:space="preserve"> and</w:t>
      </w:r>
      <w:r w:rsidR="003D5496" w:rsidRPr="00662DD3">
        <w:rPr>
          <w:rStyle w:val="a6"/>
          <w:b w:val="0"/>
          <w:sz w:val="22"/>
          <w:szCs w:val="22"/>
          <w:lang w:val="en-US"/>
        </w:rPr>
        <w:t xml:space="preserve"> benches</w:t>
      </w:r>
      <w:r w:rsidR="00B9429E" w:rsidRPr="00662DD3">
        <w:rPr>
          <w:rStyle w:val="a6"/>
          <w:b w:val="0"/>
          <w:sz w:val="22"/>
          <w:szCs w:val="22"/>
          <w:lang w:val="en-US"/>
        </w:rPr>
        <w:t xml:space="preserve">, </w:t>
      </w:r>
      <w:r w:rsidR="00B30147" w:rsidRPr="00662DD3">
        <w:rPr>
          <w:rStyle w:val="a6"/>
          <w:b w:val="0"/>
          <w:sz w:val="22"/>
          <w:szCs w:val="22"/>
          <w:lang w:val="en-US"/>
        </w:rPr>
        <w:t xml:space="preserve">carrying out of landscaping activities. </w:t>
      </w:r>
    </w:p>
    <w:p w14:paraId="5F352147" w14:textId="77777777" w:rsidR="005B3DB6" w:rsidRPr="00662DD3" w:rsidRDefault="005B3DB6" w:rsidP="003900DF">
      <w:pPr>
        <w:pStyle w:val="PRAGHeading2"/>
        <w:numPr>
          <w:ilvl w:val="0"/>
          <w:numId w:val="0"/>
        </w:numPr>
        <w:ind w:left="720"/>
        <w:jc w:val="both"/>
        <w:rPr>
          <w:sz w:val="22"/>
          <w:szCs w:val="22"/>
          <w:lang w:val="en-US"/>
        </w:rPr>
      </w:pPr>
    </w:p>
    <w:p w14:paraId="1CE19FBF" w14:textId="77777777" w:rsidR="00B24E1F" w:rsidRPr="00662DD3" w:rsidRDefault="00B24E1F" w:rsidP="003900DF">
      <w:pPr>
        <w:pStyle w:val="PRAGHeading2"/>
        <w:rPr>
          <w:rStyle w:val="a6"/>
          <w:sz w:val="22"/>
          <w:szCs w:val="22"/>
          <w:lang w:val="en-US"/>
        </w:rPr>
      </w:pPr>
      <w:r w:rsidRPr="00662DD3">
        <w:rPr>
          <w:rStyle w:val="a6"/>
          <w:sz w:val="22"/>
          <w:szCs w:val="22"/>
          <w:lang w:val="en-US"/>
        </w:rPr>
        <w:t>Provisional commencement date of the contract</w:t>
      </w:r>
    </w:p>
    <w:p w14:paraId="16BA2B12" w14:textId="3768C44A" w:rsidR="00B24E1F" w:rsidRPr="00662DD3" w:rsidRDefault="00081F83" w:rsidP="003900DF">
      <w:pPr>
        <w:ind w:left="709"/>
        <w:rPr>
          <w:sz w:val="22"/>
          <w:szCs w:val="22"/>
          <w:lang w:val="en-US"/>
        </w:rPr>
      </w:pPr>
      <w:r w:rsidRPr="00662DD3">
        <w:rPr>
          <w:sz w:val="22"/>
          <w:szCs w:val="22"/>
          <w:lang w:val="en-US"/>
        </w:rPr>
        <w:t>1</w:t>
      </w:r>
      <w:r w:rsidR="00461ED0" w:rsidRPr="00662DD3">
        <w:rPr>
          <w:sz w:val="22"/>
          <w:szCs w:val="22"/>
          <w:lang w:val="en-US"/>
        </w:rPr>
        <w:t>1</w:t>
      </w:r>
      <w:r w:rsidR="00FF02C7" w:rsidRPr="00662DD3">
        <w:rPr>
          <w:sz w:val="22"/>
          <w:szCs w:val="22"/>
          <w:lang w:val="en-US"/>
        </w:rPr>
        <w:t>.0</w:t>
      </w:r>
      <w:r w:rsidR="00C37D28" w:rsidRPr="00662DD3">
        <w:rPr>
          <w:sz w:val="22"/>
          <w:szCs w:val="22"/>
          <w:lang w:val="en-US"/>
        </w:rPr>
        <w:t>3</w:t>
      </w:r>
      <w:r w:rsidR="006E592E" w:rsidRPr="00662DD3">
        <w:rPr>
          <w:sz w:val="22"/>
          <w:szCs w:val="22"/>
          <w:lang w:val="en-US"/>
        </w:rPr>
        <w:t>.2021</w:t>
      </w:r>
    </w:p>
    <w:p w14:paraId="7F130C5B" w14:textId="77777777" w:rsidR="002E09EF" w:rsidRPr="00662DD3" w:rsidRDefault="002E09EF" w:rsidP="003900DF">
      <w:pPr>
        <w:pStyle w:val="PRAGHeading2"/>
        <w:rPr>
          <w:rStyle w:val="a6"/>
          <w:b w:val="0"/>
          <w:sz w:val="22"/>
          <w:szCs w:val="22"/>
          <w:lang w:val="en-US"/>
        </w:rPr>
      </w:pPr>
      <w:r w:rsidRPr="00662DD3">
        <w:rPr>
          <w:rStyle w:val="a6"/>
          <w:bCs/>
          <w:sz w:val="22"/>
          <w:szCs w:val="22"/>
          <w:lang w:val="en-US"/>
        </w:rPr>
        <w:t>P</w:t>
      </w:r>
      <w:r w:rsidRPr="00662DD3">
        <w:rPr>
          <w:b/>
          <w:sz w:val="22"/>
          <w:szCs w:val="22"/>
          <w:lang w:val="en-US"/>
        </w:rPr>
        <w:t>eriod of implementation of tasks</w:t>
      </w:r>
    </w:p>
    <w:p w14:paraId="6A6AB512" w14:textId="1E848B21" w:rsidR="00551B3A" w:rsidRPr="00662DD3" w:rsidRDefault="004C63A6" w:rsidP="003900DF">
      <w:pPr>
        <w:ind w:left="709"/>
        <w:jc w:val="both"/>
        <w:rPr>
          <w:bCs/>
          <w:color w:val="000000"/>
          <w:sz w:val="22"/>
          <w:szCs w:val="22"/>
          <w:lang w:val="en-US"/>
        </w:rPr>
      </w:pPr>
      <w:bookmarkStart w:id="1" w:name="_Hlk50455466"/>
      <w:r w:rsidRPr="00662DD3">
        <w:rPr>
          <w:bCs/>
          <w:color w:val="000000"/>
          <w:sz w:val="22"/>
          <w:szCs w:val="22"/>
          <w:lang w:val="en-US"/>
        </w:rPr>
        <w:t xml:space="preserve">The period of implementation of tasks </w:t>
      </w:r>
      <w:r w:rsidR="003900DF" w:rsidRPr="00662DD3">
        <w:rPr>
          <w:bCs/>
          <w:color w:val="000000"/>
          <w:sz w:val="22"/>
          <w:szCs w:val="22"/>
          <w:lang w:val="en-US"/>
        </w:rPr>
        <w:t xml:space="preserve">for each lot </w:t>
      </w:r>
      <w:r w:rsidRPr="00662DD3">
        <w:rPr>
          <w:bCs/>
          <w:color w:val="000000"/>
          <w:sz w:val="22"/>
          <w:szCs w:val="22"/>
          <w:lang w:val="en-US"/>
        </w:rPr>
        <w:t xml:space="preserve">shall be </w:t>
      </w:r>
      <w:r w:rsidR="00461ED0" w:rsidRPr="00662DD3">
        <w:rPr>
          <w:bCs/>
          <w:color w:val="000000"/>
          <w:sz w:val="22"/>
          <w:szCs w:val="22"/>
          <w:lang w:val="en-US"/>
        </w:rPr>
        <w:t>3</w:t>
      </w:r>
      <w:r w:rsidRPr="00662DD3">
        <w:rPr>
          <w:bCs/>
          <w:color w:val="000000"/>
          <w:sz w:val="22"/>
          <w:szCs w:val="22"/>
          <w:lang w:val="en-US"/>
        </w:rPr>
        <w:t xml:space="preserve"> months (</w:t>
      </w:r>
      <w:r w:rsidR="00461ED0" w:rsidRPr="00662DD3">
        <w:rPr>
          <w:bCs/>
          <w:color w:val="000000"/>
          <w:sz w:val="22"/>
          <w:szCs w:val="22"/>
          <w:lang w:val="en-US"/>
        </w:rPr>
        <w:t>9</w:t>
      </w:r>
      <w:r w:rsidR="00772880" w:rsidRPr="00662DD3">
        <w:rPr>
          <w:bCs/>
          <w:color w:val="000000"/>
          <w:sz w:val="22"/>
          <w:szCs w:val="22"/>
          <w:lang w:val="en-US"/>
        </w:rPr>
        <w:t>0</w:t>
      </w:r>
      <w:r w:rsidRPr="00662DD3">
        <w:rPr>
          <w:bCs/>
          <w:color w:val="000000"/>
          <w:sz w:val="22"/>
          <w:szCs w:val="22"/>
          <w:lang w:val="en-US"/>
        </w:rPr>
        <w:t xml:space="preserve"> days</w:t>
      </w:r>
      <w:r w:rsidR="00551B3A" w:rsidRPr="00662DD3">
        <w:rPr>
          <w:bCs/>
          <w:color w:val="000000"/>
          <w:sz w:val="22"/>
          <w:szCs w:val="22"/>
          <w:lang w:val="en-US"/>
        </w:rPr>
        <w:t>)</w:t>
      </w:r>
      <w:r w:rsidR="00AE547B" w:rsidRPr="00662DD3">
        <w:rPr>
          <w:bCs/>
          <w:color w:val="000000"/>
          <w:sz w:val="22"/>
          <w:szCs w:val="22"/>
          <w:lang w:val="en-US"/>
        </w:rPr>
        <w:t>.</w:t>
      </w:r>
    </w:p>
    <w:p w14:paraId="77BC500F" w14:textId="1F35DF7B" w:rsidR="00551B3A" w:rsidRPr="00662DD3" w:rsidRDefault="00AE547B" w:rsidP="00AE547B">
      <w:pPr>
        <w:widowControl/>
        <w:spacing w:before="0" w:after="0"/>
        <w:ind w:firstLine="709"/>
        <w:jc w:val="both"/>
        <w:rPr>
          <w:bCs/>
          <w:sz w:val="22"/>
          <w:szCs w:val="22"/>
          <w:lang w:val="en-GB"/>
        </w:rPr>
      </w:pPr>
      <w:r w:rsidRPr="00662DD3">
        <w:rPr>
          <w:bCs/>
          <w:sz w:val="22"/>
          <w:szCs w:val="22"/>
          <w:lang w:val="en-GB"/>
        </w:rPr>
        <w:t>F</w:t>
      </w:r>
      <w:r w:rsidR="00551B3A" w:rsidRPr="00662DD3">
        <w:rPr>
          <w:bCs/>
          <w:sz w:val="22"/>
          <w:szCs w:val="22"/>
          <w:lang w:val="en-GB"/>
        </w:rPr>
        <w:t xml:space="preserve">or Lot 1 </w:t>
      </w:r>
      <w:r w:rsidR="00013B11" w:rsidRPr="00662DD3">
        <w:rPr>
          <w:bCs/>
          <w:sz w:val="22"/>
          <w:szCs w:val="22"/>
          <w:lang w:val="en-GB"/>
        </w:rPr>
        <w:t>–</w:t>
      </w:r>
      <w:r w:rsidR="00551B3A" w:rsidRPr="00662DD3">
        <w:rPr>
          <w:sz w:val="22"/>
          <w:szCs w:val="22"/>
          <w:lang w:val="en-GB"/>
        </w:rPr>
        <w:t xml:space="preserve"> </w:t>
      </w:r>
      <w:r w:rsidR="00013B11" w:rsidRPr="00662DD3">
        <w:rPr>
          <w:sz w:val="22"/>
          <w:szCs w:val="22"/>
          <w:lang w:val="en-GB"/>
        </w:rPr>
        <w:t xml:space="preserve">the period of implementation of tasks starts </w:t>
      </w:r>
      <w:r w:rsidR="00551B3A" w:rsidRPr="00662DD3">
        <w:rPr>
          <w:bCs/>
          <w:sz w:val="22"/>
          <w:szCs w:val="22"/>
          <w:lang w:val="en-GB"/>
        </w:rPr>
        <w:t xml:space="preserve">from the issuing of contract, provision of access to the sites of construction with </w:t>
      </w:r>
      <w:r w:rsidR="00AB4AA9" w:rsidRPr="00662DD3">
        <w:rPr>
          <w:bCs/>
          <w:sz w:val="22"/>
          <w:szCs w:val="22"/>
          <w:lang w:val="en-GB"/>
        </w:rPr>
        <w:t xml:space="preserve">a </w:t>
      </w:r>
      <w:r w:rsidR="00551B3A" w:rsidRPr="00662DD3">
        <w:rPr>
          <w:bCs/>
          <w:sz w:val="22"/>
          <w:szCs w:val="22"/>
          <w:lang w:val="en-GB"/>
        </w:rPr>
        <w:t>protocol for opening a construction site and for determining the construction line and level - Annex № 2 as per Ordinance № 3 of 31 July 2003 on drawing up acts and protocols during the construction</w:t>
      </w:r>
      <w:r w:rsidR="00551B3A" w:rsidRPr="00662DD3">
        <w:rPr>
          <w:b/>
          <w:bCs/>
          <w:sz w:val="22"/>
          <w:szCs w:val="22"/>
          <w:lang w:val="en-GB"/>
        </w:rPr>
        <w:t xml:space="preserve"> </w:t>
      </w:r>
      <w:r w:rsidR="00551B3A" w:rsidRPr="00662DD3">
        <w:rPr>
          <w:bCs/>
          <w:sz w:val="22"/>
          <w:szCs w:val="22"/>
          <w:lang w:val="en-GB"/>
        </w:rPr>
        <w:t>until the provisional acceptance - with Statement of findings for establishing the suitability for acceptance of the construction (Annex № 15 as per Ordinance № 3 of 31 July 2003 on drawing up acts and protocols during the construction) without prejudice to extensions of the period which may be granted under Article 35 of the General Conditions, but not later than the end date of project CB007.2.11.224, which is 29.06.2021 or the new deadline for the implementation of the project in case of its extension.</w:t>
      </w:r>
    </w:p>
    <w:p w14:paraId="0E584816" w14:textId="1A6D7226" w:rsidR="00551B3A" w:rsidRPr="00662DD3" w:rsidRDefault="00AE547B" w:rsidP="00AE547B">
      <w:pPr>
        <w:widowControl/>
        <w:spacing w:before="120" w:after="120"/>
        <w:ind w:firstLine="709"/>
        <w:jc w:val="both"/>
        <w:rPr>
          <w:bCs/>
          <w:sz w:val="22"/>
          <w:szCs w:val="22"/>
          <w:lang w:val="en-GB"/>
        </w:rPr>
      </w:pPr>
      <w:r w:rsidRPr="00662DD3">
        <w:rPr>
          <w:bCs/>
          <w:sz w:val="22"/>
          <w:szCs w:val="22"/>
          <w:lang w:val="en-GB"/>
        </w:rPr>
        <w:t>F</w:t>
      </w:r>
      <w:r w:rsidR="00551B3A" w:rsidRPr="00662DD3">
        <w:rPr>
          <w:bCs/>
          <w:sz w:val="22"/>
          <w:szCs w:val="22"/>
          <w:lang w:val="en-GB"/>
        </w:rPr>
        <w:t>or Lot 2 and Lot 3 –</w:t>
      </w:r>
      <w:r w:rsidRPr="00662DD3">
        <w:rPr>
          <w:bCs/>
          <w:sz w:val="22"/>
          <w:szCs w:val="22"/>
          <w:lang w:val="en-GB"/>
        </w:rPr>
        <w:t xml:space="preserve"> </w:t>
      </w:r>
      <w:r w:rsidRPr="00662DD3">
        <w:rPr>
          <w:sz w:val="22"/>
          <w:szCs w:val="22"/>
          <w:lang w:val="en-GB"/>
        </w:rPr>
        <w:t xml:space="preserve">the period of implementation of tasks starts </w:t>
      </w:r>
      <w:r w:rsidR="00551B3A" w:rsidRPr="00662DD3">
        <w:rPr>
          <w:bCs/>
          <w:sz w:val="22"/>
          <w:szCs w:val="22"/>
          <w:lang w:val="en-GB"/>
        </w:rPr>
        <w:t xml:space="preserve">from the issuing of contract, provision of access to the sites of construction with </w:t>
      </w:r>
      <w:r w:rsidR="00551B3A" w:rsidRPr="00662DD3">
        <w:rPr>
          <w:bCs/>
          <w:sz w:val="22"/>
          <w:szCs w:val="22"/>
          <w:lang w:val="en-US"/>
        </w:rPr>
        <w:t>authorization letters</w:t>
      </w:r>
      <w:r w:rsidR="00551B3A" w:rsidRPr="00662DD3">
        <w:rPr>
          <w:bCs/>
          <w:sz w:val="22"/>
          <w:szCs w:val="22"/>
          <w:lang w:val="en-GB"/>
        </w:rPr>
        <w:t xml:space="preserve"> and the provision of necessary construction documentation and permissions mentioned in Article 8.1 of this Special conditions until the provisional acceptance with the signing of the</w:t>
      </w:r>
      <w:r w:rsidR="00551B3A" w:rsidRPr="00662DD3">
        <w:rPr>
          <w:bCs/>
          <w:sz w:val="22"/>
          <w:szCs w:val="22"/>
          <w:lang w:val="en-US"/>
        </w:rPr>
        <w:t xml:space="preserve"> last in line certificate of acceptance for establishment of the executed construction works</w:t>
      </w:r>
      <w:r w:rsidR="00551B3A" w:rsidRPr="00662DD3">
        <w:rPr>
          <w:bCs/>
          <w:sz w:val="22"/>
          <w:szCs w:val="22"/>
          <w:lang w:val="en-GB"/>
        </w:rPr>
        <w:t xml:space="preserve"> without prejudice to extensions of the period which may be granted under </w:t>
      </w:r>
      <w:r w:rsidR="00551B3A" w:rsidRPr="00662DD3">
        <w:rPr>
          <w:bCs/>
          <w:sz w:val="22"/>
          <w:szCs w:val="22"/>
          <w:lang w:val="en-GB"/>
        </w:rPr>
        <w:lastRenderedPageBreak/>
        <w:t>Article 35 of the General Conditions, but not later than the end date of project CB007.2.11.224, which is 29.06.2021 or the new deadline for the implementation of the project in case of its extension.</w:t>
      </w:r>
    </w:p>
    <w:bookmarkEnd w:id="1"/>
    <w:p w14:paraId="2F67FA4D" w14:textId="77777777" w:rsidR="004C63A6" w:rsidRPr="00662DD3" w:rsidRDefault="004C63A6" w:rsidP="006011F4">
      <w:pPr>
        <w:rPr>
          <w:sz w:val="22"/>
          <w:szCs w:val="22"/>
          <w:lang w:val="en-US"/>
        </w:rPr>
      </w:pPr>
    </w:p>
    <w:p w14:paraId="42FA288D" w14:textId="05C03EEC" w:rsidR="002139C6" w:rsidRPr="00662DD3" w:rsidRDefault="00764986" w:rsidP="003900DF">
      <w:pPr>
        <w:ind w:left="360"/>
        <w:jc w:val="center"/>
        <w:rPr>
          <w:rStyle w:val="a6"/>
          <w:sz w:val="22"/>
          <w:szCs w:val="22"/>
          <w:lang w:val="en-US"/>
        </w:rPr>
      </w:pPr>
      <w:r w:rsidRPr="00662DD3">
        <w:rPr>
          <w:b/>
          <w:noProof/>
          <w:snapToGrid/>
          <w:sz w:val="22"/>
          <w:szCs w:val="22"/>
          <w:lang w:val="bg-BG" w:eastAsia="bg-BG"/>
        </w:rPr>
        <mc:AlternateContent>
          <mc:Choice Requires="wps">
            <w:drawing>
              <wp:anchor distT="0" distB="0" distL="114300" distR="114300" simplePos="0" relativeHeight="251658752" behindDoc="0" locked="0" layoutInCell="0" allowOverlap="1" wp14:anchorId="59FB2EC9" wp14:editId="5DB50CFD">
                <wp:simplePos x="0" y="0"/>
                <wp:positionH relativeFrom="column">
                  <wp:posOffset>28575</wp:posOffset>
                </wp:positionH>
                <wp:positionV relativeFrom="paragraph">
                  <wp:posOffset>11430</wp:posOffset>
                </wp:positionV>
                <wp:extent cx="5943600"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769AF8C0"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tfVgIAALI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l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" o:allowincell="f" strokecolor="#d4d4d4" strokeweight="1.75pt">
                <v:shadow on="t" offset="0,-1pt"/>
              </v:line>
            </w:pict>
          </mc:Fallback>
        </mc:AlternateContent>
      </w:r>
      <w:r w:rsidR="002139C6" w:rsidRPr="00662DD3">
        <w:rPr>
          <w:rStyle w:val="a6"/>
          <w:sz w:val="22"/>
          <w:szCs w:val="22"/>
          <w:lang w:val="en-US"/>
        </w:rPr>
        <w:t>TERMS OF PARTICIPATION</w:t>
      </w:r>
    </w:p>
    <w:p w14:paraId="11F27521" w14:textId="77777777" w:rsidR="002139C6" w:rsidRPr="00662DD3" w:rsidRDefault="002139C6" w:rsidP="003900DF">
      <w:pPr>
        <w:pStyle w:val="PRAGHeading2"/>
        <w:rPr>
          <w:rStyle w:val="a6"/>
          <w:sz w:val="22"/>
          <w:szCs w:val="22"/>
          <w:lang w:val="en-US"/>
        </w:rPr>
      </w:pPr>
      <w:r w:rsidRPr="00662DD3">
        <w:rPr>
          <w:rStyle w:val="a6"/>
          <w:sz w:val="22"/>
          <w:szCs w:val="22"/>
          <w:lang w:val="en-US"/>
        </w:rPr>
        <w:t>Eligibility and rules of origin</w:t>
      </w:r>
    </w:p>
    <w:p w14:paraId="1D84268B" w14:textId="77777777" w:rsidR="008205A6" w:rsidRPr="00662DD3" w:rsidRDefault="008205A6" w:rsidP="00E6326F">
      <w:pPr>
        <w:pStyle w:val="PRAGHeading2"/>
        <w:numPr>
          <w:ilvl w:val="0"/>
          <w:numId w:val="0"/>
        </w:numPr>
        <w:ind w:firstLine="709"/>
        <w:jc w:val="both"/>
        <w:rPr>
          <w:sz w:val="22"/>
          <w:szCs w:val="22"/>
          <w:lang w:val="en-US"/>
        </w:rPr>
      </w:pPr>
      <w:r w:rsidRPr="00662DD3">
        <w:rPr>
          <w:sz w:val="22"/>
          <w:szCs w:val="22"/>
          <w:lang w:val="en-US"/>
        </w:rPr>
        <w:t>Participation in this tender procedure is open not only to the invited tenderers.</w:t>
      </w:r>
    </w:p>
    <w:p w14:paraId="71C754C5" w14:textId="52ED817C" w:rsidR="00E267BD" w:rsidRPr="00662DD3" w:rsidRDefault="000158F3" w:rsidP="00E6326F">
      <w:pPr>
        <w:pStyle w:val="PRAGHeading2"/>
        <w:numPr>
          <w:ilvl w:val="0"/>
          <w:numId w:val="0"/>
        </w:numPr>
        <w:ind w:firstLine="709"/>
        <w:jc w:val="both"/>
        <w:rPr>
          <w:sz w:val="22"/>
          <w:szCs w:val="22"/>
          <w:lang w:val="en-US"/>
        </w:rPr>
      </w:pPr>
      <w:r w:rsidRPr="00662DD3">
        <w:rPr>
          <w:sz w:val="22"/>
          <w:szCs w:val="22"/>
          <w:lang w:val="en-US"/>
        </w:rPr>
        <w:t xml:space="preserve">Participation is open to all </w:t>
      </w:r>
      <w:r w:rsidRPr="00662DD3">
        <w:rPr>
          <w:rFonts w:eastAsia="Calibri" w:cs="Arial"/>
          <w:sz w:val="22"/>
          <w:szCs w:val="22"/>
          <w:lang w:val="en-US"/>
        </w:rPr>
        <w:t xml:space="preserve">natural persons who are nationals of and </w:t>
      </w:r>
      <w:r w:rsidR="008205A6" w:rsidRPr="00662DD3">
        <w:rPr>
          <w:sz w:val="22"/>
          <w:szCs w:val="22"/>
          <w:lang w:val="en-US"/>
        </w:rPr>
        <w:t xml:space="preserve">legal persons </w:t>
      </w:r>
      <w:r w:rsidRPr="00662DD3">
        <w:rPr>
          <w:sz w:val="22"/>
          <w:szCs w:val="22"/>
          <w:lang w:val="en-US"/>
        </w:rPr>
        <w:t>participating either individually or in a gro</w:t>
      </w:r>
      <w:r w:rsidR="008205A6" w:rsidRPr="00662DD3">
        <w:rPr>
          <w:sz w:val="22"/>
          <w:szCs w:val="22"/>
          <w:lang w:val="en-US"/>
        </w:rPr>
        <w:t>uping (consortium) of tenderers</w:t>
      </w:r>
      <w:r w:rsidRPr="00662DD3">
        <w:rPr>
          <w:sz w:val="22"/>
          <w:szCs w:val="22"/>
          <w:lang w:val="en-US"/>
        </w:rPr>
        <w:t xml:space="preserve"> which are effectively established in a Member State of the European Union or in a eligible country or territory</w:t>
      </w:r>
      <w:r w:rsidR="00DD0D7B" w:rsidRPr="00662DD3">
        <w:rPr>
          <w:sz w:val="22"/>
          <w:szCs w:val="22"/>
          <w:lang w:val="en-US"/>
        </w:rPr>
        <w:t xml:space="preserve"> </w:t>
      </w:r>
      <w:r w:rsidRPr="00662DD3">
        <w:rPr>
          <w:sz w:val="22"/>
          <w:szCs w:val="22"/>
          <w:lang w:val="en-US"/>
        </w:rPr>
        <w:t xml:space="preserve">as defined under </w:t>
      </w:r>
      <w:r w:rsidRPr="00662DD3">
        <w:rPr>
          <w:rFonts w:eastAsia="Calibri" w:cs="Arial"/>
          <w:bCs/>
          <w:snapToGrid/>
          <w:sz w:val="22"/>
          <w:szCs w:val="22"/>
          <w:lang w:val="en-US"/>
        </w:rPr>
        <w:t xml:space="preserve">the Regulation </w:t>
      </w:r>
      <w:r w:rsidRPr="00662DD3">
        <w:rPr>
          <w:sz w:val="22"/>
          <w:szCs w:val="22"/>
          <w:lang w:val="en-US"/>
        </w:rPr>
        <w:t xml:space="preserve">(EU) </w:t>
      </w:r>
      <w:r w:rsidR="00391F9F" w:rsidRPr="00662DD3">
        <w:rPr>
          <w:sz w:val="22"/>
          <w:szCs w:val="22"/>
          <w:lang w:val="en-US"/>
        </w:rPr>
        <w:t>No </w:t>
      </w:r>
      <w:r w:rsidRPr="00662DD3">
        <w:rPr>
          <w:rFonts w:eastAsia="MS Mincho"/>
          <w:noProof/>
          <w:sz w:val="22"/>
          <w:szCs w:val="22"/>
          <w:lang w:val="en-US" w:eastAsia="ja-JP"/>
        </w:rPr>
        <w:t xml:space="preserve">236/2014 </w:t>
      </w:r>
      <w:r w:rsidRPr="00662DD3">
        <w:rPr>
          <w:rFonts w:eastAsia="Calibri" w:cs="Arial"/>
          <w:bCs/>
          <w:snapToGrid/>
          <w:sz w:val="22"/>
          <w:szCs w:val="22"/>
          <w:lang w:val="en-US"/>
        </w:rPr>
        <w:t xml:space="preserve">establishing common rules and procedures for the implementation of the Union's instruments for external action (CIR) </w:t>
      </w:r>
      <w:r w:rsidRPr="00662DD3">
        <w:rPr>
          <w:sz w:val="22"/>
          <w:szCs w:val="22"/>
          <w:lang w:val="en-US"/>
        </w:rPr>
        <w:t xml:space="preserve">for the applicable Instrument under which the contract is financed (see also heading </w:t>
      </w:r>
      <w:r w:rsidR="00AD0BF2" w:rsidRPr="00662DD3">
        <w:rPr>
          <w:sz w:val="22"/>
          <w:szCs w:val="22"/>
          <w:lang w:val="en-US"/>
        </w:rPr>
        <w:t>17</w:t>
      </w:r>
      <w:r w:rsidRPr="00662DD3">
        <w:rPr>
          <w:sz w:val="22"/>
          <w:szCs w:val="22"/>
          <w:lang w:val="en-US"/>
        </w:rPr>
        <w:t xml:space="preserve"> below)</w:t>
      </w:r>
      <w:r w:rsidRPr="00662DD3">
        <w:rPr>
          <w:rFonts w:eastAsia="Calibri" w:cs="Arial"/>
          <w:sz w:val="22"/>
          <w:szCs w:val="22"/>
          <w:lang w:val="en-US"/>
        </w:rPr>
        <w:t xml:space="preserve">. </w:t>
      </w:r>
      <w:r w:rsidRPr="00662DD3">
        <w:rPr>
          <w:sz w:val="22"/>
          <w:szCs w:val="22"/>
          <w:lang w:val="en-US"/>
        </w:rPr>
        <w:t xml:space="preserve">Participation is also open to international </w:t>
      </w:r>
      <w:proofErr w:type="spellStart"/>
      <w:r w:rsidRPr="00662DD3">
        <w:rPr>
          <w:sz w:val="22"/>
          <w:szCs w:val="22"/>
          <w:lang w:val="en-US"/>
        </w:rPr>
        <w:t>organisations</w:t>
      </w:r>
      <w:proofErr w:type="spellEnd"/>
      <w:r w:rsidRPr="00662DD3">
        <w:rPr>
          <w:sz w:val="22"/>
          <w:szCs w:val="22"/>
          <w:lang w:val="en-US"/>
        </w:rPr>
        <w:t xml:space="preserve">. </w:t>
      </w:r>
      <w:r w:rsidR="00DD6316" w:rsidRPr="00662DD3">
        <w:rPr>
          <w:sz w:val="22"/>
          <w:szCs w:val="22"/>
          <w:lang w:val="en-US"/>
        </w:rPr>
        <w:t xml:space="preserve">All goods purchased under the </w:t>
      </w:r>
      <w:r w:rsidR="00391F9F" w:rsidRPr="00662DD3">
        <w:rPr>
          <w:sz w:val="22"/>
          <w:szCs w:val="22"/>
          <w:lang w:val="en-US"/>
        </w:rPr>
        <w:t>c</w:t>
      </w:r>
      <w:r w:rsidR="00DD6316" w:rsidRPr="00662DD3">
        <w:rPr>
          <w:sz w:val="22"/>
          <w:szCs w:val="22"/>
          <w:lang w:val="en-US"/>
        </w:rPr>
        <w:t>ontract must originate from an eligible source country as defined above.</w:t>
      </w:r>
      <w:r w:rsidR="00DD6316" w:rsidRPr="00662DD3">
        <w:rPr>
          <w:lang w:val="en-US"/>
        </w:rPr>
        <w:t xml:space="preserve"> </w:t>
      </w:r>
      <w:r w:rsidR="00DD6316" w:rsidRPr="00662DD3">
        <w:rPr>
          <w:sz w:val="22"/>
          <w:szCs w:val="22"/>
          <w:lang w:val="en-US"/>
        </w:rPr>
        <w:t xml:space="preserve">However, the goods to be purchased may originate from any country, whenever the total price of the estimated quantity of those goods, as reflected in a separate item of the </w:t>
      </w:r>
      <w:r w:rsidR="00391F9F" w:rsidRPr="00662DD3">
        <w:rPr>
          <w:sz w:val="22"/>
          <w:szCs w:val="22"/>
          <w:lang w:val="en-US"/>
        </w:rPr>
        <w:t>b</w:t>
      </w:r>
      <w:r w:rsidR="00DD6316" w:rsidRPr="00662DD3">
        <w:rPr>
          <w:sz w:val="22"/>
          <w:szCs w:val="22"/>
          <w:lang w:val="en-US"/>
        </w:rPr>
        <w:t xml:space="preserve">reakdown of the </w:t>
      </w:r>
      <w:r w:rsidR="00391F9F" w:rsidRPr="00662DD3">
        <w:rPr>
          <w:sz w:val="22"/>
          <w:szCs w:val="22"/>
          <w:lang w:val="en-US"/>
        </w:rPr>
        <w:t>l</w:t>
      </w:r>
      <w:r w:rsidR="00DD6316" w:rsidRPr="00662DD3">
        <w:rPr>
          <w:sz w:val="22"/>
          <w:szCs w:val="22"/>
          <w:lang w:val="en-US"/>
        </w:rPr>
        <w:t xml:space="preserve">ump-sum </w:t>
      </w:r>
      <w:r w:rsidR="00391F9F" w:rsidRPr="00662DD3">
        <w:rPr>
          <w:sz w:val="22"/>
          <w:szCs w:val="22"/>
          <w:lang w:val="en-US"/>
        </w:rPr>
        <w:t>p</w:t>
      </w:r>
      <w:r w:rsidR="00DD6316" w:rsidRPr="00662DD3">
        <w:rPr>
          <w:sz w:val="22"/>
          <w:szCs w:val="22"/>
          <w:lang w:val="en-US"/>
        </w:rPr>
        <w:t xml:space="preserve">rice (Volume 4.2.3) is below </w:t>
      </w:r>
      <w:r w:rsidR="00391F9F" w:rsidRPr="00662DD3">
        <w:rPr>
          <w:sz w:val="22"/>
          <w:szCs w:val="22"/>
          <w:lang w:val="en-US"/>
        </w:rPr>
        <w:t>EUR </w:t>
      </w:r>
      <w:r w:rsidR="00DD6316" w:rsidRPr="00662DD3">
        <w:rPr>
          <w:sz w:val="22"/>
          <w:szCs w:val="22"/>
          <w:lang w:val="en-US"/>
        </w:rPr>
        <w:t>100</w:t>
      </w:r>
      <w:r w:rsidR="00391F9F" w:rsidRPr="00662DD3">
        <w:rPr>
          <w:sz w:val="22"/>
          <w:szCs w:val="22"/>
          <w:lang w:val="en-US"/>
        </w:rPr>
        <w:t> </w:t>
      </w:r>
      <w:r w:rsidR="00DD6316" w:rsidRPr="00662DD3">
        <w:rPr>
          <w:sz w:val="22"/>
          <w:szCs w:val="22"/>
          <w:lang w:val="en-US"/>
        </w:rPr>
        <w:t xml:space="preserve">000. </w:t>
      </w:r>
    </w:p>
    <w:p w14:paraId="070C0534" w14:textId="77777777" w:rsidR="00E267BD" w:rsidRPr="00662DD3" w:rsidRDefault="00E267BD" w:rsidP="00E6326F">
      <w:pPr>
        <w:spacing w:after="0"/>
        <w:ind w:firstLine="709"/>
        <w:jc w:val="both"/>
        <w:rPr>
          <w:sz w:val="22"/>
          <w:szCs w:val="22"/>
          <w:lang w:val="en-US"/>
        </w:rPr>
      </w:pPr>
      <w:r w:rsidRPr="00662DD3">
        <w:rPr>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73304446" w14:textId="77777777" w:rsidR="00E267BD" w:rsidRPr="00662DD3" w:rsidRDefault="00E267BD" w:rsidP="00E6326F">
      <w:pPr>
        <w:spacing w:after="0"/>
        <w:ind w:firstLine="709"/>
        <w:jc w:val="both"/>
        <w:rPr>
          <w:sz w:val="22"/>
          <w:szCs w:val="22"/>
          <w:lang w:val="en-US"/>
        </w:rPr>
      </w:pPr>
      <w:r w:rsidRPr="00662DD3">
        <w:rPr>
          <w:sz w:val="22"/>
          <w:szCs w:val="22"/>
          <w:lang w:val="en-US"/>
        </w:rPr>
        <w:t>* Agreement on the withdrawal of the United Kingdom of Great Britain and Northern Ireland from the European Union and the European Atomic Energy Community.</w:t>
      </w:r>
    </w:p>
    <w:p w14:paraId="1DB82DF7" w14:textId="77777777" w:rsidR="00E267BD" w:rsidRPr="00662DD3" w:rsidRDefault="00E267BD" w:rsidP="00E6326F">
      <w:pPr>
        <w:spacing w:after="0"/>
        <w:ind w:firstLine="709"/>
        <w:jc w:val="both"/>
        <w:rPr>
          <w:sz w:val="22"/>
          <w:szCs w:val="22"/>
          <w:lang w:val="en-US"/>
        </w:rPr>
      </w:pPr>
      <w:r w:rsidRPr="00662DD3">
        <w:rPr>
          <w:sz w:val="22"/>
          <w:szCs w:val="22"/>
          <w:lang w:val="en-US"/>
        </w:rPr>
        <w:t>** Regulation (EU) No 236/2014 of the European Parliament and of the Council of 11 March 2014 laying down common rules and procedures for the implementation of the Union's instruments for financing external action.</w:t>
      </w:r>
    </w:p>
    <w:p w14:paraId="3DC80C03" w14:textId="77777777" w:rsidR="00E267BD" w:rsidRPr="00662DD3" w:rsidRDefault="00E267BD" w:rsidP="00E6326F">
      <w:pPr>
        <w:spacing w:after="0"/>
        <w:ind w:firstLine="709"/>
        <w:rPr>
          <w:sz w:val="22"/>
          <w:szCs w:val="22"/>
          <w:lang w:val="en-US"/>
        </w:rPr>
      </w:pPr>
      <w:r w:rsidRPr="00662DD3">
        <w:rPr>
          <w:sz w:val="22"/>
          <w:szCs w:val="22"/>
          <w:lang w:val="en-US"/>
        </w:rPr>
        <w:t>*** Annex IV to the ACP-EU Partnership Agreement, as revised by Decision 1/2014 of the ACP-EU Council of Ministers (OJ L196/40, 3.7.2014)</w:t>
      </w:r>
    </w:p>
    <w:p w14:paraId="0D043D9D" w14:textId="3FF9AAEC" w:rsidR="00E267BD" w:rsidRPr="00662DD3" w:rsidRDefault="00E267BD" w:rsidP="00E6326F">
      <w:pPr>
        <w:ind w:firstLine="709"/>
        <w:rPr>
          <w:sz w:val="22"/>
          <w:szCs w:val="22"/>
          <w:lang w:val="en-US"/>
        </w:rPr>
      </w:pPr>
      <w:r w:rsidRPr="00662DD3">
        <w:rPr>
          <w:sz w:val="22"/>
          <w:szCs w:val="22"/>
          <w:lang w:val="en-US"/>
        </w:rPr>
        <w:t>**** including the Overseas Countries and Territories having special relations with the United Kingdom, as laid down in Part Four and Annex II of the TFEU</w:t>
      </w:r>
    </w:p>
    <w:p w14:paraId="76BC6947" w14:textId="77777777" w:rsidR="002139C6" w:rsidRPr="00662DD3" w:rsidRDefault="00B24E1F" w:rsidP="003900DF">
      <w:pPr>
        <w:pStyle w:val="PRAGHeading2"/>
        <w:keepNext/>
        <w:keepLines/>
        <w:jc w:val="both"/>
        <w:rPr>
          <w:rStyle w:val="a6"/>
          <w:sz w:val="22"/>
          <w:szCs w:val="22"/>
          <w:lang w:val="en-US"/>
        </w:rPr>
      </w:pPr>
      <w:r w:rsidRPr="00662DD3">
        <w:rPr>
          <w:rStyle w:val="a6"/>
          <w:sz w:val="22"/>
          <w:szCs w:val="22"/>
          <w:lang w:val="en-US"/>
        </w:rPr>
        <w:t>Subcontracting</w:t>
      </w:r>
    </w:p>
    <w:p w14:paraId="351FC04E" w14:textId="77777777" w:rsidR="00B24E1F" w:rsidRPr="00662DD3" w:rsidRDefault="00B24E1F" w:rsidP="00E6326F">
      <w:pPr>
        <w:pStyle w:val="PRAGHeading2"/>
        <w:keepNext/>
        <w:keepLines/>
        <w:numPr>
          <w:ilvl w:val="0"/>
          <w:numId w:val="0"/>
        </w:numPr>
        <w:ind w:firstLine="720"/>
        <w:jc w:val="both"/>
        <w:rPr>
          <w:sz w:val="22"/>
          <w:szCs w:val="22"/>
          <w:lang w:val="en-US"/>
        </w:rPr>
      </w:pPr>
      <w:r w:rsidRPr="00662DD3">
        <w:rPr>
          <w:rStyle w:val="a6"/>
          <w:b w:val="0"/>
          <w:sz w:val="22"/>
          <w:szCs w:val="22"/>
          <w:lang w:val="en-US"/>
        </w:rPr>
        <w:t xml:space="preserve">Subcontracting is allowed. </w:t>
      </w:r>
    </w:p>
    <w:p w14:paraId="1E213F63" w14:textId="77777777" w:rsidR="00B24E1F" w:rsidRPr="00662DD3" w:rsidRDefault="00BD63A4" w:rsidP="00E6326F">
      <w:pPr>
        <w:pStyle w:val="PRAGHeading2"/>
        <w:numPr>
          <w:ilvl w:val="0"/>
          <w:numId w:val="0"/>
        </w:numPr>
        <w:ind w:firstLine="720"/>
        <w:jc w:val="both"/>
        <w:rPr>
          <w:rStyle w:val="a6"/>
          <w:sz w:val="22"/>
          <w:szCs w:val="22"/>
          <w:lang w:val="bg-BG"/>
        </w:rPr>
      </w:pPr>
      <w:r w:rsidRPr="00662DD3">
        <w:rPr>
          <w:sz w:val="22"/>
          <w:szCs w:val="22"/>
          <w:lang w:val="en-US"/>
        </w:rPr>
        <w:t>Subcontractors</w:t>
      </w:r>
      <w:r w:rsidR="00072A47" w:rsidRPr="00662DD3">
        <w:rPr>
          <w:sz w:val="22"/>
          <w:szCs w:val="22"/>
          <w:lang w:val="en-US"/>
        </w:rPr>
        <w:t>, s</w:t>
      </w:r>
      <w:r w:rsidRPr="00662DD3">
        <w:rPr>
          <w:sz w:val="22"/>
          <w:szCs w:val="22"/>
          <w:lang w:val="en-US"/>
        </w:rPr>
        <w:t xml:space="preserve">uppliers </w:t>
      </w:r>
      <w:r w:rsidR="00072A47" w:rsidRPr="00662DD3">
        <w:rPr>
          <w:sz w:val="22"/>
          <w:szCs w:val="22"/>
          <w:lang w:val="en-US"/>
        </w:rPr>
        <w:t xml:space="preserve">and entities upon whose capacity the tenderer relies for the selection criteria, </w:t>
      </w:r>
      <w:r w:rsidRPr="00662DD3">
        <w:rPr>
          <w:sz w:val="22"/>
          <w:szCs w:val="22"/>
          <w:lang w:val="en-US"/>
        </w:rPr>
        <w:t xml:space="preserve">must be eligible in respect of the rules on nationality and origin for the financing </w:t>
      </w:r>
      <w:proofErr w:type="spellStart"/>
      <w:r w:rsidRPr="00662DD3">
        <w:rPr>
          <w:sz w:val="22"/>
          <w:szCs w:val="22"/>
          <w:lang w:val="en-US"/>
        </w:rPr>
        <w:t>programme</w:t>
      </w:r>
      <w:proofErr w:type="spellEnd"/>
      <w:r w:rsidRPr="00662DD3">
        <w:rPr>
          <w:sz w:val="22"/>
          <w:szCs w:val="22"/>
          <w:lang w:val="en-US"/>
        </w:rPr>
        <w:t xml:space="preserve"> detailed in Section </w:t>
      </w:r>
      <w:r w:rsidR="00AD0BF2" w:rsidRPr="00662DD3">
        <w:rPr>
          <w:sz w:val="22"/>
          <w:szCs w:val="22"/>
          <w:lang w:val="en-US"/>
        </w:rPr>
        <w:t>10</w:t>
      </w:r>
      <w:r w:rsidRPr="00662DD3">
        <w:rPr>
          <w:sz w:val="22"/>
          <w:szCs w:val="22"/>
          <w:lang w:val="en-US"/>
        </w:rPr>
        <w:t xml:space="preserve"> above.</w:t>
      </w:r>
    </w:p>
    <w:p w14:paraId="7C8984A4" w14:textId="77777777" w:rsidR="00B24E1F" w:rsidRPr="00662DD3" w:rsidRDefault="00B24E1F" w:rsidP="003900DF">
      <w:pPr>
        <w:pStyle w:val="PRAGHeading2"/>
        <w:jc w:val="both"/>
        <w:rPr>
          <w:rStyle w:val="a6"/>
          <w:sz w:val="22"/>
          <w:szCs w:val="22"/>
          <w:lang w:val="en-US"/>
        </w:rPr>
      </w:pPr>
      <w:r w:rsidRPr="00662DD3">
        <w:rPr>
          <w:rStyle w:val="a6"/>
          <w:sz w:val="22"/>
          <w:szCs w:val="22"/>
          <w:lang w:val="en-US"/>
        </w:rPr>
        <w:t>Grounds for exclusion</w:t>
      </w:r>
    </w:p>
    <w:p w14:paraId="42B272F3" w14:textId="77777777" w:rsidR="003720EC" w:rsidRPr="00662DD3" w:rsidRDefault="003720EC" w:rsidP="00126FD5">
      <w:pPr>
        <w:ind w:firstLine="720"/>
        <w:jc w:val="both"/>
        <w:rPr>
          <w:sz w:val="22"/>
          <w:szCs w:val="22"/>
          <w:lang w:val="en-US"/>
        </w:rPr>
      </w:pPr>
      <w:r w:rsidRPr="00662DD3">
        <w:rPr>
          <w:sz w:val="22"/>
          <w:szCs w:val="22"/>
          <w:lang w:val="en-US"/>
        </w:rPr>
        <w:t xml:space="preserve">Natural persons, companies or undertakings falling into a situation set out in </w:t>
      </w:r>
      <w:r w:rsidR="00921394" w:rsidRPr="00662DD3">
        <w:rPr>
          <w:sz w:val="22"/>
          <w:szCs w:val="22"/>
          <w:lang w:val="en-US"/>
        </w:rPr>
        <w:t>S</w:t>
      </w:r>
      <w:r w:rsidRPr="00662DD3">
        <w:rPr>
          <w:sz w:val="22"/>
          <w:szCs w:val="22"/>
          <w:lang w:val="en-US"/>
        </w:rPr>
        <w:t xml:space="preserve">ection </w:t>
      </w:r>
      <w:r w:rsidR="00725D52" w:rsidRPr="00662DD3">
        <w:rPr>
          <w:sz w:val="22"/>
          <w:szCs w:val="22"/>
          <w:lang w:val="en-US"/>
        </w:rPr>
        <w:t>2.6.10.1.1.</w:t>
      </w:r>
      <w:r w:rsidRPr="00662DD3">
        <w:rPr>
          <w:sz w:val="22"/>
          <w:szCs w:val="22"/>
          <w:lang w:val="en-US"/>
        </w:rPr>
        <w:t xml:space="preserve"> </w:t>
      </w:r>
      <w:r w:rsidRPr="00662DD3">
        <w:rPr>
          <w:sz w:val="22"/>
          <w:szCs w:val="22"/>
          <w:lang w:val="en-US"/>
        </w:rPr>
        <w:lastRenderedPageBreak/>
        <w:t>(</w:t>
      </w:r>
      <w:r w:rsidR="00725D52" w:rsidRPr="00662DD3">
        <w:rPr>
          <w:sz w:val="22"/>
          <w:szCs w:val="22"/>
          <w:lang w:val="en-US"/>
        </w:rPr>
        <w:t>‘</w:t>
      </w:r>
      <w:r w:rsidRPr="00662DD3">
        <w:rPr>
          <w:sz w:val="22"/>
          <w:szCs w:val="22"/>
          <w:lang w:val="en-US"/>
        </w:rPr>
        <w:t>exclusion from participation in procurement procedures</w:t>
      </w:r>
      <w:r w:rsidR="00725D52" w:rsidRPr="00662DD3">
        <w:rPr>
          <w:sz w:val="22"/>
          <w:szCs w:val="22"/>
          <w:lang w:val="en-US"/>
        </w:rPr>
        <w:t>’</w:t>
      </w:r>
      <w:r w:rsidRPr="00662DD3">
        <w:rPr>
          <w:sz w:val="22"/>
          <w:szCs w:val="22"/>
          <w:lang w:val="en-US"/>
        </w:rPr>
        <w:t xml:space="preserve">) and </w:t>
      </w:r>
      <w:r w:rsidR="00921394" w:rsidRPr="00662DD3">
        <w:rPr>
          <w:sz w:val="22"/>
          <w:szCs w:val="22"/>
          <w:lang w:val="en-US"/>
        </w:rPr>
        <w:t>S</w:t>
      </w:r>
      <w:r w:rsidRPr="00662DD3">
        <w:rPr>
          <w:sz w:val="22"/>
          <w:szCs w:val="22"/>
          <w:lang w:val="en-US"/>
        </w:rPr>
        <w:t xml:space="preserve">ection </w:t>
      </w:r>
      <w:r w:rsidR="00725D52" w:rsidRPr="00662DD3">
        <w:rPr>
          <w:sz w:val="22"/>
          <w:szCs w:val="22"/>
          <w:lang w:val="en-US"/>
        </w:rPr>
        <w:t>2.6.10.1.2.</w:t>
      </w:r>
      <w:r w:rsidRPr="00662DD3">
        <w:rPr>
          <w:sz w:val="22"/>
          <w:szCs w:val="22"/>
          <w:lang w:val="en-US"/>
        </w:rPr>
        <w:t xml:space="preserve"> (</w:t>
      </w:r>
      <w:r w:rsidR="00725D52" w:rsidRPr="00662DD3">
        <w:rPr>
          <w:sz w:val="22"/>
          <w:szCs w:val="22"/>
          <w:lang w:val="en-US"/>
        </w:rPr>
        <w:t>‘</w:t>
      </w:r>
      <w:r w:rsidRPr="00662DD3">
        <w:rPr>
          <w:sz w:val="22"/>
          <w:szCs w:val="22"/>
          <w:lang w:val="en-US"/>
        </w:rPr>
        <w:t>rejection from a given procedure</w:t>
      </w:r>
      <w:r w:rsidR="00725D52" w:rsidRPr="00662DD3">
        <w:rPr>
          <w:sz w:val="22"/>
          <w:szCs w:val="22"/>
          <w:lang w:val="en-US"/>
        </w:rPr>
        <w:t>’</w:t>
      </w:r>
      <w:r w:rsidRPr="00662DD3">
        <w:rPr>
          <w:sz w:val="22"/>
          <w:szCs w:val="22"/>
          <w:lang w:val="en-US"/>
        </w:rPr>
        <w:t xml:space="preserve">) of the </w:t>
      </w:r>
      <w:r w:rsidR="00725D52" w:rsidRPr="00662DD3">
        <w:rPr>
          <w:sz w:val="22"/>
          <w:szCs w:val="22"/>
          <w:lang w:val="en-US"/>
        </w:rPr>
        <w:t>p</w:t>
      </w:r>
      <w:r w:rsidRPr="00662DD3">
        <w:rPr>
          <w:sz w:val="22"/>
          <w:szCs w:val="22"/>
          <w:lang w:val="en-US"/>
        </w:rPr>
        <w:t>ractical</w:t>
      </w:r>
      <w:r w:rsidR="00985F8D" w:rsidRPr="00662DD3">
        <w:rPr>
          <w:sz w:val="22"/>
          <w:szCs w:val="22"/>
          <w:lang w:val="en-US"/>
        </w:rPr>
        <w:t xml:space="preserve"> </w:t>
      </w:r>
      <w:r w:rsidR="00725D52" w:rsidRPr="00662DD3">
        <w:rPr>
          <w:sz w:val="22"/>
          <w:szCs w:val="22"/>
          <w:lang w:val="en-US"/>
        </w:rPr>
        <w:t>g</w:t>
      </w:r>
      <w:r w:rsidRPr="00662DD3">
        <w:rPr>
          <w:sz w:val="22"/>
          <w:szCs w:val="22"/>
          <w:lang w:val="en-US"/>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662DD3">
        <w:rPr>
          <w:sz w:val="22"/>
          <w:szCs w:val="22"/>
          <w:lang w:val="en-US"/>
        </w:rPr>
        <w:t>S</w:t>
      </w:r>
      <w:r w:rsidRPr="00662DD3">
        <w:rPr>
          <w:sz w:val="22"/>
          <w:szCs w:val="22"/>
          <w:lang w:val="en-US"/>
        </w:rPr>
        <w:t xml:space="preserve">ection </w:t>
      </w:r>
      <w:r w:rsidR="00725D52" w:rsidRPr="00662DD3">
        <w:rPr>
          <w:sz w:val="22"/>
          <w:szCs w:val="22"/>
          <w:lang w:val="en-US"/>
        </w:rPr>
        <w:t>2.6.10.1.</w:t>
      </w:r>
      <w:r w:rsidRPr="00662DD3">
        <w:rPr>
          <w:sz w:val="22"/>
          <w:szCs w:val="22"/>
          <w:lang w:val="en-US"/>
        </w:rPr>
        <w:t xml:space="preserve"> of the </w:t>
      </w:r>
      <w:r w:rsidR="00725D52" w:rsidRPr="00662DD3">
        <w:rPr>
          <w:sz w:val="22"/>
          <w:szCs w:val="22"/>
          <w:lang w:val="en-US"/>
        </w:rPr>
        <w:t>p</w:t>
      </w:r>
      <w:r w:rsidRPr="00662DD3">
        <w:rPr>
          <w:sz w:val="22"/>
          <w:szCs w:val="22"/>
          <w:lang w:val="en-US"/>
        </w:rPr>
        <w:t xml:space="preserve">ractical </w:t>
      </w:r>
      <w:r w:rsidR="00725D52" w:rsidRPr="00662DD3">
        <w:rPr>
          <w:sz w:val="22"/>
          <w:szCs w:val="22"/>
          <w:lang w:val="en-US"/>
        </w:rPr>
        <w:t>g</w:t>
      </w:r>
      <w:r w:rsidRPr="00662DD3">
        <w:rPr>
          <w:sz w:val="22"/>
          <w:szCs w:val="22"/>
          <w:lang w:val="en-US"/>
        </w:rPr>
        <w:t>uide. The declarations must cover all the members of a joint venture/consortium. Tenderers guilty of making false declarations may also incur financial penalties</w:t>
      </w:r>
      <w:r w:rsidR="0040130C" w:rsidRPr="00662DD3">
        <w:rPr>
          <w:sz w:val="22"/>
          <w:szCs w:val="22"/>
          <w:lang w:val="en-US"/>
        </w:rPr>
        <w:t xml:space="preserve"> up to 10% of the value of the contract</w:t>
      </w:r>
      <w:r w:rsidRPr="00662DD3">
        <w:rPr>
          <w:sz w:val="22"/>
          <w:szCs w:val="22"/>
          <w:lang w:val="en-US"/>
        </w:rPr>
        <w:t xml:space="preserve"> and exclusion in accordance with </w:t>
      </w:r>
      <w:r w:rsidR="0040130C" w:rsidRPr="00662DD3">
        <w:rPr>
          <w:sz w:val="22"/>
          <w:szCs w:val="22"/>
          <w:lang w:val="en-US"/>
        </w:rPr>
        <w:t>the Financial Regulation in force</w:t>
      </w:r>
      <w:r w:rsidRPr="00662DD3">
        <w:rPr>
          <w:sz w:val="22"/>
          <w:szCs w:val="22"/>
          <w:lang w:val="en-US"/>
        </w:rPr>
        <w:t>.</w:t>
      </w:r>
    </w:p>
    <w:p w14:paraId="52F0B95B" w14:textId="77777777" w:rsidR="003720EC" w:rsidRPr="00662DD3" w:rsidRDefault="003720EC" w:rsidP="0016704A">
      <w:pPr>
        <w:ind w:firstLine="709"/>
        <w:jc w:val="both"/>
        <w:rPr>
          <w:sz w:val="22"/>
          <w:szCs w:val="22"/>
          <w:lang w:val="en-US"/>
        </w:rPr>
      </w:pPr>
      <w:r w:rsidRPr="00662DD3">
        <w:rPr>
          <w:sz w:val="22"/>
          <w:szCs w:val="22"/>
          <w:lang w:val="en-US"/>
        </w:rPr>
        <w:t>Those exclusion situations apply to all members of a joint venture/consortium, all subcontractors and all suppliers to tenderers, as well as to all entities upon whose capacity the tenderer relies for the selection criteria.</w:t>
      </w:r>
    </w:p>
    <w:p w14:paraId="7803B32B" w14:textId="77777777" w:rsidR="00631F1A" w:rsidRPr="00662DD3" w:rsidRDefault="002B6113" w:rsidP="0016704A">
      <w:pPr>
        <w:ind w:firstLine="709"/>
        <w:jc w:val="both"/>
        <w:rPr>
          <w:sz w:val="22"/>
          <w:szCs w:val="22"/>
          <w:lang w:val="en-US"/>
        </w:rPr>
      </w:pPr>
      <w:r w:rsidRPr="00662DD3">
        <w:rPr>
          <w:sz w:val="22"/>
          <w:szCs w:val="22"/>
          <w:lang w:val="en-US"/>
        </w:rPr>
        <w:t>Tenderers</w:t>
      </w:r>
      <w:r w:rsidR="00631F1A" w:rsidRPr="00662DD3">
        <w:rPr>
          <w:sz w:val="22"/>
          <w:szCs w:val="22"/>
          <w:lang w:val="en-US"/>
        </w:rPr>
        <w:t xml:space="preserve"> included in the lists of EU restrictive measures (see Section </w:t>
      </w:r>
      <w:r w:rsidR="00725D52" w:rsidRPr="00662DD3">
        <w:rPr>
          <w:sz w:val="22"/>
          <w:szCs w:val="22"/>
          <w:lang w:val="en-US"/>
        </w:rPr>
        <w:t>2.4.</w:t>
      </w:r>
      <w:r w:rsidR="00631F1A" w:rsidRPr="00662DD3">
        <w:rPr>
          <w:sz w:val="22"/>
          <w:szCs w:val="22"/>
          <w:lang w:val="en-US"/>
        </w:rPr>
        <w:t xml:space="preserve"> of the PRAG) at the moment of the award decision cannot be awarded the contract</w:t>
      </w:r>
      <w:r w:rsidRPr="00662DD3">
        <w:rPr>
          <w:sz w:val="22"/>
          <w:szCs w:val="22"/>
          <w:lang w:val="en-US"/>
        </w:rPr>
        <w:t>.</w:t>
      </w:r>
    </w:p>
    <w:p w14:paraId="40FD7407" w14:textId="77777777" w:rsidR="002139C6" w:rsidRPr="00662DD3" w:rsidRDefault="002139C6" w:rsidP="003900DF">
      <w:pPr>
        <w:pStyle w:val="PRAGHeading2"/>
        <w:jc w:val="both"/>
        <w:rPr>
          <w:rStyle w:val="a6"/>
          <w:sz w:val="22"/>
          <w:szCs w:val="22"/>
          <w:lang w:val="en-US"/>
        </w:rPr>
      </w:pPr>
      <w:r w:rsidRPr="00662DD3">
        <w:rPr>
          <w:rStyle w:val="a6"/>
          <w:sz w:val="22"/>
          <w:szCs w:val="22"/>
          <w:lang w:val="en-US"/>
        </w:rPr>
        <w:t>Number of tenders</w:t>
      </w:r>
    </w:p>
    <w:p w14:paraId="565910AD" w14:textId="72F42BDD" w:rsidR="00EE2A34" w:rsidRPr="00662DD3" w:rsidRDefault="002139C6" w:rsidP="0016704A">
      <w:pPr>
        <w:ind w:firstLine="709"/>
        <w:jc w:val="both"/>
        <w:rPr>
          <w:sz w:val="22"/>
          <w:szCs w:val="22"/>
          <w:lang w:val="en-US"/>
        </w:rPr>
      </w:pPr>
      <w:r w:rsidRPr="00662DD3">
        <w:rPr>
          <w:sz w:val="22"/>
          <w:szCs w:val="22"/>
          <w:lang w:val="en-US"/>
        </w:rPr>
        <w:t xml:space="preserve">Tenderers may submit </w:t>
      </w:r>
      <w:r w:rsidR="00AA4373" w:rsidRPr="00662DD3">
        <w:rPr>
          <w:sz w:val="22"/>
          <w:szCs w:val="22"/>
          <w:lang w:val="en-US"/>
        </w:rPr>
        <w:t>only one tender</w:t>
      </w:r>
      <w:r w:rsidR="001048E6" w:rsidRPr="00662DD3">
        <w:rPr>
          <w:sz w:val="22"/>
          <w:szCs w:val="22"/>
          <w:lang w:val="en-US"/>
        </w:rPr>
        <w:t xml:space="preserve"> for each lot</w:t>
      </w:r>
      <w:r w:rsidRPr="00662DD3">
        <w:rPr>
          <w:sz w:val="22"/>
          <w:szCs w:val="22"/>
          <w:lang w:val="en-US"/>
        </w:rPr>
        <w:t xml:space="preserve">. Tenders for parts of </w:t>
      </w:r>
      <w:r w:rsidR="00721E98" w:rsidRPr="00662DD3">
        <w:rPr>
          <w:sz w:val="22"/>
          <w:szCs w:val="22"/>
          <w:lang w:val="en-US"/>
        </w:rPr>
        <w:t>the</w:t>
      </w:r>
      <w:r w:rsidRPr="00662DD3">
        <w:rPr>
          <w:sz w:val="22"/>
          <w:szCs w:val="22"/>
          <w:lang w:val="en-US"/>
        </w:rPr>
        <w:t xml:space="preserve"> </w:t>
      </w:r>
      <w:r w:rsidR="00721E98" w:rsidRPr="00662DD3">
        <w:rPr>
          <w:sz w:val="22"/>
          <w:szCs w:val="22"/>
          <w:lang w:val="en-US"/>
        </w:rPr>
        <w:t>works</w:t>
      </w:r>
      <w:r w:rsidRPr="00662DD3">
        <w:rPr>
          <w:sz w:val="22"/>
          <w:szCs w:val="22"/>
          <w:lang w:val="en-US"/>
        </w:rPr>
        <w:t xml:space="preserve"> </w:t>
      </w:r>
      <w:r w:rsidR="001048E6" w:rsidRPr="00662DD3">
        <w:rPr>
          <w:sz w:val="22"/>
          <w:szCs w:val="22"/>
          <w:lang w:val="en-US"/>
        </w:rPr>
        <w:t xml:space="preserve">of a lot </w:t>
      </w:r>
      <w:r w:rsidRPr="00662DD3">
        <w:rPr>
          <w:sz w:val="22"/>
          <w:szCs w:val="22"/>
          <w:lang w:val="en-US"/>
        </w:rPr>
        <w:t>will not be considered. Tenderers may not</w:t>
      </w:r>
      <w:r w:rsidR="002E09EF" w:rsidRPr="00662DD3">
        <w:rPr>
          <w:sz w:val="22"/>
          <w:szCs w:val="22"/>
          <w:lang w:val="en-US"/>
        </w:rPr>
        <w:t xml:space="preserve"> </w:t>
      </w:r>
      <w:r w:rsidRPr="00662DD3">
        <w:rPr>
          <w:sz w:val="22"/>
          <w:szCs w:val="22"/>
          <w:lang w:val="en-US"/>
        </w:rPr>
        <w:t>submit a tender for a variant solution in addition to their tender for the works required in the tender dossier</w:t>
      </w:r>
      <w:r w:rsidR="001048E6" w:rsidRPr="00662DD3">
        <w:rPr>
          <w:sz w:val="22"/>
          <w:szCs w:val="22"/>
          <w:lang w:val="en-US"/>
        </w:rPr>
        <w:t xml:space="preserve"> for each lot</w:t>
      </w:r>
      <w:r w:rsidRPr="00662DD3">
        <w:rPr>
          <w:sz w:val="22"/>
          <w:szCs w:val="22"/>
          <w:lang w:val="en-US"/>
        </w:rPr>
        <w:t>.</w:t>
      </w:r>
      <w:r w:rsidR="001048E6" w:rsidRPr="00662DD3">
        <w:rPr>
          <w:sz w:val="22"/>
          <w:szCs w:val="22"/>
          <w:lang w:val="en-US"/>
        </w:rPr>
        <w:t xml:space="preserve"> </w:t>
      </w:r>
      <w:r w:rsidR="00ED6365" w:rsidRPr="00662DD3">
        <w:rPr>
          <w:sz w:val="22"/>
          <w:szCs w:val="22"/>
          <w:lang w:val="en-US"/>
        </w:rPr>
        <w:t xml:space="preserve">The tenderer may submit an offer for one, two or all lots. </w:t>
      </w:r>
    </w:p>
    <w:p w14:paraId="31E19869" w14:textId="1A483AF8" w:rsidR="002139C6" w:rsidRPr="00662DD3" w:rsidRDefault="00764986" w:rsidP="003900DF">
      <w:pPr>
        <w:jc w:val="both"/>
        <w:rPr>
          <w:sz w:val="22"/>
          <w:szCs w:val="22"/>
          <w:lang w:val="en-US"/>
        </w:rPr>
      </w:pPr>
      <w:r w:rsidRPr="00662DD3">
        <w:rPr>
          <w:noProof/>
          <w:snapToGrid/>
          <w:sz w:val="22"/>
          <w:szCs w:val="22"/>
          <w:lang w:val="bg-BG" w:eastAsia="bg-BG"/>
        </w:rPr>
        <mc:AlternateContent>
          <mc:Choice Requires="wps">
            <w:drawing>
              <wp:anchor distT="0" distB="0" distL="114300" distR="114300" simplePos="0" relativeHeight="251655680" behindDoc="0" locked="0" layoutInCell="0" allowOverlap="1" wp14:anchorId="143EB169" wp14:editId="5427E9FC">
                <wp:simplePos x="0" y="0"/>
                <wp:positionH relativeFrom="column">
                  <wp:posOffset>0</wp:posOffset>
                </wp:positionH>
                <wp:positionV relativeFrom="paragraph">
                  <wp:posOffset>152400</wp:posOffset>
                </wp:positionV>
                <wp:extent cx="5943600" cy="635"/>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355901A7"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4XN7CF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36A0CCA3" w14:textId="77777777" w:rsidR="002139C6" w:rsidRPr="00662DD3" w:rsidRDefault="002139C6" w:rsidP="003900DF">
      <w:pPr>
        <w:keepNext/>
        <w:keepLines/>
        <w:ind w:left="360"/>
        <w:jc w:val="both"/>
        <w:rPr>
          <w:rStyle w:val="a6"/>
          <w:sz w:val="22"/>
          <w:szCs w:val="22"/>
          <w:lang w:val="en-US"/>
        </w:rPr>
      </w:pPr>
      <w:r w:rsidRPr="00662DD3">
        <w:rPr>
          <w:rStyle w:val="a6"/>
          <w:sz w:val="22"/>
          <w:szCs w:val="22"/>
          <w:lang w:val="en-US"/>
        </w:rPr>
        <w:t>SELECTION AND AWARD CRITERIA</w:t>
      </w:r>
    </w:p>
    <w:p w14:paraId="51D7508C" w14:textId="77777777" w:rsidR="00E17B77" w:rsidRPr="00662DD3" w:rsidRDefault="002139C6" w:rsidP="003900DF">
      <w:pPr>
        <w:pStyle w:val="PRAGHeading2"/>
        <w:jc w:val="both"/>
        <w:rPr>
          <w:rStyle w:val="a6"/>
          <w:sz w:val="22"/>
          <w:szCs w:val="22"/>
          <w:lang w:val="en-US"/>
        </w:rPr>
      </w:pPr>
      <w:r w:rsidRPr="00662DD3">
        <w:rPr>
          <w:rStyle w:val="a6"/>
          <w:sz w:val="22"/>
          <w:szCs w:val="22"/>
          <w:lang w:val="en-US"/>
        </w:rPr>
        <w:t>Selection criteria</w:t>
      </w:r>
    </w:p>
    <w:p w14:paraId="7F79E8C9" w14:textId="77777777" w:rsidR="00104D73" w:rsidRPr="00662DD3" w:rsidRDefault="00104D73" w:rsidP="003900DF">
      <w:pPr>
        <w:pStyle w:val="3"/>
        <w:widowControl w:val="0"/>
        <w:numPr>
          <w:ilvl w:val="0"/>
          <w:numId w:val="0"/>
        </w:numPr>
        <w:rPr>
          <w:lang w:val="en-US"/>
        </w:rPr>
      </w:pPr>
      <w:r w:rsidRPr="00662DD3">
        <w:rPr>
          <w:lang w:val="en-US"/>
        </w:rPr>
        <w:t>In order to be eligible for the award of the contract, tenderers must provide evidence that they meet the selection criteria. If a tender is submitted by a consortium, unless specified, the selection criteria will be applied to the consortium as a whole.</w:t>
      </w:r>
    </w:p>
    <w:p w14:paraId="02E46F51" w14:textId="77777777" w:rsidR="00104D73" w:rsidRPr="00662DD3" w:rsidRDefault="00104D73" w:rsidP="003900DF">
      <w:pPr>
        <w:ind w:left="720"/>
        <w:jc w:val="both"/>
        <w:rPr>
          <w:sz w:val="22"/>
          <w:lang w:val="en-US"/>
        </w:rPr>
      </w:pPr>
      <w:r w:rsidRPr="00662DD3">
        <w:rPr>
          <w:sz w:val="22"/>
          <w:lang w:val="en-US"/>
        </w:rPr>
        <w:t>The selection criteria for each tenderer are as follows:</w:t>
      </w:r>
    </w:p>
    <w:p w14:paraId="108F397D" w14:textId="77777777" w:rsidR="00104D73" w:rsidRPr="00662DD3" w:rsidRDefault="00104D73" w:rsidP="003900DF">
      <w:pPr>
        <w:jc w:val="both"/>
        <w:rPr>
          <w:b/>
          <w:i/>
          <w:sz w:val="22"/>
          <w:u w:val="single"/>
          <w:lang w:val="en-US"/>
        </w:rPr>
      </w:pPr>
      <w:r w:rsidRPr="00662DD3">
        <w:rPr>
          <w:b/>
          <w:i/>
          <w:sz w:val="22"/>
          <w:lang w:val="en-US"/>
        </w:rPr>
        <w:t>14.</w:t>
      </w:r>
      <w:proofErr w:type="spellStart"/>
      <w:proofErr w:type="gramStart"/>
      <w:r w:rsidRPr="00662DD3">
        <w:rPr>
          <w:b/>
          <w:i/>
          <w:sz w:val="22"/>
          <w:lang w:val="en-US"/>
        </w:rPr>
        <w:t>a</w:t>
      </w:r>
      <w:proofErr w:type="spellEnd"/>
      <w:proofErr w:type="gramEnd"/>
      <w:r w:rsidRPr="00662DD3">
        <w:rPr>
          <w:b/>
          <w:i/>
          <w:sz w:val="22"/>
          <w:lang w:val="en-US"/>
        </w:rPr>
        <w:tab/>
      </w:r>
      <w:r w:rsidRPr="00662DD3">
        <w:rPr>
          <w:b/>
          <w:i/>
          <w:sz w:val="22"/>
          <w:u w:val="single"/>
          <w:lang w:val="en-US"/>
        </w:rPr>
        <w:t>Economic and financial capacity of candidate:</w:t>
      </w:r>
    </w:p>
    <w:p w14:paraId="619D39B1" w14:textId="6F617392" w:rsidR="00104D73" w:rsidRPr="00662DD3" w:rsidRDefault="00104D73" w:rsidP="003900DF">
      <w:pPr>
        <w:pStyle w:val="3"/>
        <w:widowControl w:val="0"/>
        <w:numPr>
          <w:ilvl w:val="0"/>
          <w:numId w:val="0"/>
        </w:numPr>
        <w:rPr>
          <w:lang w:val="en-US"/>
        </w:rPr>
      </w:pPr>
      <w:r w:rsidRPr="00662DD3">
        <w:rPr>
          <w:b/>
          <w:i/>
          <w:lang w:val="en-US"/>
        </w:rPr>
        <w:t>14.a.1.</w:t>
      </w:r>
      <w:r w:rsidRPr="00662DD3">
        <w:rPr>
          <w:lang w:val="en-US"/>
        </w:rPr>
        <w:t xml:space="preserve"> The average annual turnover of the tenderer in the past 3 years </w:t>
      </w:r>
      <w:r w:rsidR="005957E3" w:rsidRPr="00662DD3">
        <w:rPr>
          <w:lang w:val="en-US"/>
        </w:rPr>
        <w:t xml:space="preserve">for which accounts have been closed depending on the date on which the participant is registered or started activity </w:t>
      </w:r>
      <w:r w:rsidRPr="00662DD3">
        <w:rPr>
          <w:lang w:val="en-US"/>
        </w:rPr>
        <w:t xml:space="preserve">must be at least: </w:t>
      </w:r>
      <w:r w:rsidR="005665FF" w:rsidRPr="00662DD3">
        <w:rPr>
          <w:lang w:val="en-US"/>
        </w:rPr>
        <w:t>39</w:t>
      </w:r>
      <w:r w:rsidRPr="00662DD3">
        <w:rPr>
          <w:lang w:val="en-US"/>
        </w:rPr>
        <w:t xml:space="preserve"> 000.00 BGN for Lot 1. </w:t>
      </w:r>
    </w:p>
    <w:p w14:paraId="67BB1E81" w14:textId="27B863E9" w:rsidR="00104D73" w:rsidRPr="00662DD3" w:rsidRDefault="00104D73" w:rsidP="003900DF">
      <w:pPr>
        <w:pStyle w:val="3"/>
        <w:widowControl w:val="0"/>
        <w:numPr>
          <w:ilvl w:val="0"/>
          <w:numId w:val="0"/>
        </w:numPr>
        <w:rPr>
          <w:lang w:val="en-US"/>
        </w:rPr>
      </w:pPr>
      <w:r w:rsidRPr="00662DD3">
        <w:rPr>
          <w:b/>
          <w:i/>
          <w:lang w:val="en-US"/>
        </w:rPr>
        <w:t>14.a.2</w:t>
      </w:r>
      <w:r w:rsidRPr="00662DD3">
        <w:rPr>
          <w:lang w:val="en-US"/>
        </w:rPr>
        <w:t xml:space="preserve"> The average annual turnover of the tenderer in the past 3 years</w:t>
      </w:r>
      <w:r w:rsidR="002B6FFC" w:rsidRPr="00662DD3">
        <w:rPr>
          <w:lang w:val="en-US"/>
        </w:rPr>
        <w:t xml:space="preserve"> </w:t>
      </w:r>
      <w:proofErr w:type="spellStart"/>
      <w:r w:rsidR="002B6FFC" w:rsidRPr="00662DD3">
        <w:t>for</w:t>
      </w:r>
      <w:proofErr w:type="spellEnd"/>
      <w:r w:rsidR="002B6FFC" w:rsidRPr="00662DD3">
        <w:t xml:space="preserve"> </w:t>
      </w:r>
      <w:proofErr w:type="spellStart"/>
      <w:r w:rsidR="002B6FFC" w:rsidRPr="00662DD3">
        <w:t>which</w:t>
      </w:r>
      <w:proofErr w:type="spellEnd"/>
      <w:r w:rsidR="002B6FFC" w:rsidRPr="00662DD3">
        <w:t xml:space="preserve"> </w:t>
      </w:r>
      <w:r w:rsidR="002B6FFC" w:rsidRPr="00662DD3">
        <w:rPr>
          <w:lang w:val="en-US"/>
        </w:rPr>
        <w:t>accounts</w:t>
      </w:r>
      <w:r w:rsidR="002B6FFC" w:rsidRPr="00662DD3">
        <w:t xml:space="preserve"> </w:t>
      </w:r>
      <w:proofErr w:type="spellStart"/>
      <w:r w:rsidR="002B6FFC" w:rsidRPr="00662DD3">
        <w:t>have</w:t>
      </w:r>
      <w:proofErr w:type="spellEnd"/>
      <w:r w:rsidR="002B6FFC" w:rsidRPr="00662DD3">
        <w:t xml:space="preserve"> </w:t>
      </w:r>
      <w:proofErr w:type="spellStart"/>
      <w:r w:rsidR="002B6FFC" w:rsidRPr="00662DD3">
        <w:t>been</w:t>
      </w:r>
      <w:proofErr w:type="spellEnd"/>
      <w:r w:rsidR="002B6FFC" w:rsidRPr="00662DD3">
        <w:t xml:space="preserve"> </w:t>
      </w:r>
      <w:proofErr w:type="spellStart"/>
      <w:r w:rsidR="002B6FFC" w:rsidRPr="00662DD3">
        <w:t>closed</w:t>
      </w:r>
      <w:proofErr w:type="spellEnd"/>
      <w:r w:rsidR="002B6FFC" w:rsidRPr="00662DD3">
        <w:t xml:space="preserve"> </w:t>
      </w:r>
      <w:r w:rsidR="002B6FFC" w:rsidRPr="00662DD3">
        <w:rPr>
          <w:lang w:val="en"/>
        </w:rPr>
        <w:t>depending on the date on which the participant is registered or started activity</w:t>
      </w:r>
      <w:r w:rsidRPr="00662DD3">
        <w:rPr>
          <w:lang w:val="en-US"/>
        </w:rPr>
        <w:t xml:space="preserve"> must be at least: </w:t>
      </w:r>
      <w:r w:rsidR="005665FF" w:rsidRPr="00662DD3">
        <w:rPr>
          <w:lang w:val="en-US"/>
        </w:rPr>
        <w:t>89</w:t>
      </w:r>
      <w:r w:rsidRPr="00662DD3">
        <w:rPr>
          <w:lang w:val="en-US"/>
        </w:rPr>
        <w:t xml:space="preserve"> 000.00 BGN for Lot 2.</w:t>
      </w:r>
    </w:p>
    <w:p w14:paraId="12ED98F8" w14:textId="46F70EE9" w:rsidR="00104D73" w:rsidRPr="00662DD3" w:rsidRDefault="00104D73" w:rsidP="003900DF">
      <w:pPr>
        <w:pStyle w:val="3"/>
        <w:widowControl w:val="0"/>
        <w:numPr>
          <w:ilvl w:val="0"/>
          <w:numId w:val="0"/>
        </w:numPr>
        <w:rPr>
          <w:lang w:val="en-US"/>
        </w:rPr>
      </w:pPr>
      <w:r w:rsidRPr="00662DD3">
        <w:rPr>
          <w:b/>
          <w:i/>
          <w:lang w:val="en-US"/>
        </w:rPr>
        <w:t>14.a.3</w:t>
      </w:r>
      <w:r w:rsidRPr="00662DD3">
        <w:rPr>
          <w:lang w:val="en-US"/>
        </w:rPr>
        <w:t xml:space="preserve"> The average annual turnover of the tenderer in the past 3 years </w:t>
      </w:r>
      <w:proofErr w:type="spellStart"/>
      <w:r w:rsidR="00A93F98" w:rsidRPr="00662DD3">
        <w:t>for</w:t>
      </w:r>
      <w:proofErr w:type="spellEnd"/>
      <w:r w:rsidR="00A93F98" w:rsidRPr="00662DD3">
        <w:t xml:space="preserve"> </w:t>
      </w:r>
      <w:proofErr w:type="spellStart"/>
      <w:r w:rsidR="00A93F98" w:rsidRPr="00662DD3">
        <w:t>which</w:t>
      </w:r>
      <w:proofErr w:type="spellEnd"/>
      <w:r w:rsidR="00A93F98" w:rsidRPr="00662DD3">
        <w:t xml:space="preserve"> </w:t>
      </w:r>
      <w:r w:rsidR="00A93F98" w:rsidRPr="00662DD3">
        <w:rPr>
          <w:lang w:val="en-US"/>
        </w:rPr>
        <w:t>accounts</w:t>
      </w:r>
      <w:r w:rsidR="00A93F98" w:rsidRPr="00662DD3">
        <w:t xml:space="preserve"> </w:t>
      </w:r>
      <w:proofErr w:type="spellStart"/>
      <w:r w:rsidR="00A93F98" w:rsidRPr="00662DD3">
        <w:t>have</w:t>
      </w:r>
      <w:proofErr w:type="spellEnd"/>
      <w:r w:rsidR="00A93F98" w:rsidRPr="00662DD3">
        <w:t xml:space="preserve"> </w:t>
      </w:r>
      <w:proofErr w:type="spellStart"/>
      <w:r w:rsidR="00A93F98" w:rsidRPr="00662DD3">
        <w:t>been</w:t>
      </w:r>
      <w:proofErr w:type="spellEnd"/>
      <w:r w:rsidR="00A93F98" w:rsidRPr="00662DD3">
        <w:t xml:space="preserve"> </w:t>
      </w:r>
      <w:proofErr w:type="spellStart"/>
      <w:r w:rsidR="00A93F98" w:rsidRPr="00662DD3">
        <w:t>closed</w:t>
      </w:r>
      <w:proofErr w:type="spellEnd"/>
      <w:r w:rsidR="00A93F98" w:rsidRPr="00662DD3">
        <w:t xml:space="preserve"> </w:t>
      </w:r>
      <w:r w:rsidR="00A93F98" w:rsidRPr="00662DD3">
        <w:rPr>
          <w:lang w:val="en"/>
        </w:rPr>
        <w:t>depending on the date on which the participant is registered or started activity</w:t>
      </w:r>
      <w:r w:rsidR="00A93F98" w:rsidRPr="00662DD3">
        <w:rPr>
          <w:lang w:val="en-US"/>
        </w:rPr>
        <w:t xml:space="preserve"> </w:t>
      </w:r>
      <w:r w:rsidRPr="00662DD3">
        <w:rPr>
          <w:lang w:val="en-US"/>
        </w:rPr>
        <w:t xml:space="preserve">must be at least: </w:t>
      </w:r>
      <w:r w:rsidR="005665FF" w:rsidRPr="00662DD3">
        <w:rPr>
          <w:lang w:val="en-US"/>
        </w:rPr>
        <w:t>100</w:t>
      </w:r>
      <w:r w:rsidRPr="00662DD3">
        <w:rPr>
          <w:lang w:val="en-US"/>
        </w:rPr>
        <w:t xml:space="preserve"> 000.00 BGN for Lot 3.</w:t>
      </w:r>
    </w:p>
    <w:p w14:paraId="108E2796" w14:textId="2C3FFBA5" w:rsidR="00104D73" w:rsidRPr="00662DD3" w:rsidRDefault="00104D73" w:rsidP="003900DF">
      <w:pPr>
        <w:pStyle w:val="3"/>
        <w:widowControl w:val="0"/>
        <w:numPr>
          <w:ilvl w:val="0"/>
          <w:numId w:val="0"/>
        </w:numPr>
        <w:rPr>
          <w:lang w:val="en-US" w:eastAsia="bg-BG"/>
        </w:rPr>
      </w:pPr>
      <w:r w:rsidRPr="00662DD3">
        <w:rPr>
          <w:lang w:val="en-US" w:eastAsia="bg-BG"/>
        </w:rPr>
        <w:t xml:space="preserve">The documents with which the economic and financial capacity of the tenderer under point 14.a.1 and/or 14.a.2 and/or 14.a.3 is proved are financial statements or their extracts for a period equal to or less than the last 3 years for which accounts have been closed, where publication of the balance sheet is required under the company law of the country in which the economic operator is established or a statement of overall </w:t>
      </w:r>
      <w:r w:rsidRPr="00662DD3">
        <w:rPr>
          <w:lang w:val="en-US" w:eastAsia="bg-BG"/>
        </w:rPr>
        <w:lastRenderedPageBreak/>
        <w:t xml:space="preserve">turnover during a period of no more than the last three financial years. </w:t>
      </w:r>
    </w:p>
    <w:p w14:paraId="2DA5A51C" w14:textId="5E7E9D4D" w:rsidR="002E2E26" w:rsidRPr="00662DD3" w:rsidRDefault="00172E62" w:rsidP="00172E62">
      <w:pPr>
        <w:jc w:val="both"/>
        <w:rPr>
          <w:sz w:val="22"/>
          <w:szCs w:val="22"/>
          <w:lang w:val="en-US" w:eastAsia="bg-BG"/>
        </w:rPr>
      </w:pPr>
      <w:r w:rsidRPr="00662DD3">
        <w:rPr>
          <w:sz w:val="22"/>
          <w:szCs w:val="22"/>
          <w:lang w:val="en-US" w:eastAsia="bg-BG"/>
        </w:rPr>
        <w:t>If, for any valid reason, the economic operator is unable to provide the references requested by the contracting authority, it may prove its economic and financial capacity by any other document that the contracting authority considers appropriate.</w:t>
      </w:r>
    </w:p>
    <w:p w14:paraId="38916E79" w14:textId="12939FE6" w:rsidR="00104D73" w:rsidRPr="00662DD3" w:rsidRDefault="00104D73" w:rsidP="003900DF">
      <w:pPr>
        <w:pStyle w:val="3"/>
        <w:widowControl w:val="0"/>
        <w:numPr>
          <w:ilvl w:val="0"/>
          <w:numId w:val="0"/>
        </w:numPr>
        <w:rPr>
          <w:lang w:val="en-US"/>
        </w:rPr>
      </w:pPr>
      <w:r w:rsidRPr="00662DD3">
        <w:rPr>
          <w:lang w:val="en-US"/>
        </w:rPr>
        <w:t xml:space="preserve">If a tender(s) for one or for </w:t>
      </w:r>
      <w:r w:rsidR="00B55846" w:rsidRPr="00662DD3">
        <w:rPr>
          <w:lang w:val="en-US"/>
        </w:rPr>
        <w:t>all</w:t>
      </w:r>
      <w:r w:rsidRPr="00662DD3">
        <w:rPr>
          <w:lang w:val="en-US"/>
        </w:rPr>
        <w:t xml:space="preserve"> lots is submitted by a consortium the selection criteria of point 14.a.1 and/or 14.a.2 </w:t>
      </w:r>
      <w:r w:rsidRPr="00662DD3">
        <w:rPr>
          <w:lang w:val="en-US" w:eastAsia="bg-BG"/>
        </w:rPr>
        <w:t xml:space="preserve">and/or 14.a.3 </w:t>
      </w:r>
      <w:r w:rsidRPr="00662DD3">
        <w:rPr>
          <w:lang w:val="en-US"/>
        </w:rPr>
        <w:t>for economic and financial capacity</w:t>
      </w:r>
      <w:r w:rsidRPr="00662DD3">
        <w:rPr>
          <w:b/>
          <w:i/>
          <w:lang w:val="en-US"/>
        </w:rPr>
        <w:t xml:space="preserve"> </w:t>
      </w:r>
      <w:r w:rsidRPr="00662DD3">
        <w:rPr>
          <w:lang w:val="en-US"/>
        </w:rPr>
        <w:t>will be applied to the consortium as a whole.</w:t>
      </w:r>
      <w:r w:rsidR="00E74EF3" w:rsidRPr="00662DD3">
        <w:rPr>
          <w:lang w:val="en-US"/>
        </w:rPr>
        <w:t xml:space="preserve"> </w:t>
      </w:r>
    </w:p>
    <w:p w14:paraId="6BD31089" w14:textId="77777777" w:rsidR="006255C5" w:rsidRPr="00662DD3" w:rsidRDefault="006255C5" w:rsidP="006255C5">
      <w:pPr>
        <w:rPr>
          <w:lang w:val="en-US"/>
        </w:rPr>
      </w:pPr>
    </w:p>
    <w:p w14:paraId="3E47EEA6" w14:textId="77777777" w:rsidR="00104D73" w:rsidRPr="00662DD3" w:rsidRDefault="00104D73" w:rsidP="003900DF">
      <w:pPr>
        <w:jc w:val="both"/>
        <w:rPr>
          <w:b/>
          <w:i/>
          <w:sz w:val="22"/>
          <w:lang w:val="en-US"/>
        </w:rPr>
      </w:pPr>
      <w:r w:rsidRPr="00662DD3">
        <w:rPr>
          <w:b/>
          <w:i/>
          <w:sz w:val="22"/>
          <w:lang w:val="en-US"/>
        </w:rPr>
        <w:t>14.b</w:t>
      </w:r>
      <w:r w:rsidRPr="00662DD3">
        <w:rPr>
          <w:b/>
          <w:i/>
          <w:sz w:val="22"/>
          <w:lang w:val="en-US"/>
        </w:rPr>
        <w:tab/>
      </w:r>
      <w:r w:rsidRPr="00662DD3">
        <w:rPr>
          <w:b/>
          <w:i/>
          <w:sz w:val="22"/>
          <w:u w:val="single"/>
          <w:lang w:val="en-US"/>
        </w:rPr>
        <w:t>Technical and professional capacity of candidate:</w:t>
      </w:r>
    </w:p>
    <w:p w14:paraId="689B3636" w14:textId="0BDD3061" w:rsidR="00104D73" w:rsidRPr="00662DD3" w:rsidRDefault="00104D73" w:rsidP="003900DF">
      <w:pPr>
        <w:pStyle w:val="3"/>
        <w:widowControl w:val="0"/>
        <w:numPr>
          <w:ilvl w:val="0"/>
          <w:numId w:val="0"/>
        </w:numPr>
        <w:rPr>
          <w:lang w:val="en-US"/>
        </w:rPr>
      </w:pPr>
      <w:r w:rsidRPr="00662DD3">
        <w:rPr>
          <w:b/>
          <w:i/>
          <w:lang w:val="en-US"/>
        </w:rPr>
        <w:t xml:space="preserve">For Lot 1: 14.b.1 </w:t>
      </w:r>
      <w:r w:rsidRPr="00662DD3">
        <w:rPr>
          <w:b/>
          <w:lang w:val="en-US"/>
        </w:rPr>
        <w:t xml:space="preserve">– </w:t>
      </w:r>
      <w:r w:rsidRPr="00662DD3">
        <w:rPr>
          <w:lang w:val="en-US"/>
        </w:rPr>
        <w:t xml:space="preserve">The tenderer must have completed at least 1 construction works contract and/or project of the same nature and complexity as the works </w:t>
      </w:r>
      <w:r w:rsidRPr="00662DD3">
        <w:rPr>
          <w:b/>
          <w:lang w:val="en-US"/>
        </w:rPr>
        <w:t>concerned</w:t>
      </w:r>
      <w:r w:rsidRPr="00662DD3">
        <w:rPr>
          <w:lang w:val="en-US"/>
        </w:rPr>
        <w:t xml:space="preserve"> </w:t>
      </w:r>
      <w:r w:rsidR="0019256F" w:rsidRPr="00662DD3">
        <w:rPr>
          <w:lang w:val="en-US"/>
        </w:rPr>
        <w:t>in</w:t>
      </w:r>
      <w:r w:rsidRPr="00662DD3">
        <w:rPr>
          <w:lang w:val="en-US"/>
        </w:rPr>
        <w:t xml:space="preserve"> Lot 1 of the tender and implemented during the following period: </w:t>
      </w:r>
      <w:r w:rsidR="00EF4A3C">
        <w:rPr>
          <w:b/>
          <w:lang w:val="en-US"/>
        </w:rPr>
        <w:t>01.03</w:t>
      </w:r>
      <w:r w:rsidR="00F37447" w:rsidRPr="00662DD3">
        <w:rPr>
          <w:b/>
          <w:lang w:val="en-US"/>
        </w:rPr>
        <w:t>.2016</w:t>
      </w:r>
      <w:r w:rsidRPr="00662DD3">
        <w:rPr>
          <w:b/>
          <w:lang w:val="en-US"/>
        </w:rPr>
        <w:t xml:space="preserve"> –</w:t>
      </w:r>
      <w:r w:rsidRPr="00662DD3">
        <w:rPr>
          <w:lang w:val="en-US"/>
        </w:rPr>
        <w:t xml:space="preserve"> </w:t>
      </w:r>
      <w:r w:rsidR="001524B3">
        <w:rPr>
          <w:b/>
          <w:lang w:val="en-US"/>
        </w:rPr>
        <w:t>0</w:t>
      </w:r>
      <w:r w:rsidR="00A2121C">
        <w:rPr>
          <w:b/>
          <w:lang w:val="en-US"/>
        </w:rPr>
        <w:t>1</w:t>
      </w:r>
      <w:r w:rsidR="00F37447" w:rsidRPr="00662DD3">
        <w:rPr>
          <w:b/>
          <w:lang w:val="en-US"/>
        </w:rPr>
        <w:t>.0</w:t>
      </w:r>
      <w:r w:rsidR="00A2121C">
        <w:rPr>
          <w:b/>
          <w:lang w:val="en-US"/>
        </w:rPr>
        <w:t>3</w:t>
      </w:r>
      <w:r w:rsidR="00F37447" w:rsidRPr="00662DD3">
        <w:rPr>
          <w:b/>
          <w:lang w:val="en-US"/>
        </w:rPr>
        <w:t>.2021</w:t>
      </w:r>
      <w:r w:rsidRPr="00662DD3">
        <w:rPr>
          <w:b/>
          <w:lang w:val="en-US"/>
        </w:rPr>
        <w:t xml:space="preserve"> </w:t>
      </w:r>
      <w:r w:rsidRPr="00662DD3">
        <w:rPr>
          <w:lang w:val="en-US"/>
        </w:rPr>
        <w:t xml:space="preserve">which period is 5 years counting from the submission deadline. The contracting authority reserves the right to ask for copies of certificates of final acceptance signed by the supervisors/contracting authority of the contracts and/or projects concerned. </w:t>
      </w:r>
    </w:p>
    <w:p w14:paraId="2C6DCB2A" w14:textId="2E401CC7" w:rsidR="00934728" w:rsidRPr="00662DD3" w:rsidRDefault="00104D73" w:rsidP="003900DF">
      <w:pPr>
        <w:pStyle w:val="3"/>
        <w:widowControl w:val="0"/>
        <w:numPr>
          <w:ilvl w:val="0"/>
          <w:numId w:val="0"/>
        </w:numPr>
        <w:rPr>
          <w:lang w:val="en-US"/>
        </w:rPr>
      </w:pPr>
      <w:r w:rsidRPr="00662DD3">
        <w:rPr>
          <w:lang w:val="en-US"/>
        </w:rPr>
        <w:t>Contract/project of the same nature and complexity for Lot 1 is considered a contract and/or project for</w:t>
      </w:r>
      <w:r w:rsidR="00934728" w:rsidRPr="00662DD3">
        <w:rPr>
          <w:lang w:val="en-US"/>
        </w:rPr>
        <w:t xml:space="preserve"> </w:t>
      </w:r>
      <w:r w:rsidR="00FE3379" w:rsidRPr="00662DD3">
        <w:rPr>
          <w:lang w:val="en-US"/>
        </w:rPr>
        <w:t>repairs and</w:t>
      </w:r>
      <w:r w:rsidR="00047CFC" w:rsidRPr="00662DD3">
        <w:rPr>
          <w:lang w:val="en-US"/>
        </w:rPr>
        <w:t>/or</w:t>
      </w:r>
      <w:r w:rsidR="00FE3379" w:rsidRPr="00662DD3">
        <w:rPr>
          <w:lang w:val="en-US"/>
        </w:rPr>
        <w:t xml:space="preserve"> renovations </w:t>
      </w:r>
      <w:r w:rsidR="00047CFC" w:rsidRPr="00662DD3">
        <w:rPr>
          <w:lang w:val="en-US"/>
        </w:rPr>
        <w:t>and/or</w:t>
      </w:r>
      <w:r w:rsidR="00934728" w:rsidRPr="00662DD3">
        <w:rPr>
          <w:lang w:val="en-US"/>
        </w:rPr>
        <w:t xml:space="preserve"> restoration and/or</w:t>
      </w:r>
      <w:r w:rsidR="00047CFC" w:rsidRPr="00662DD3">
        <w:rPr>
          <w:lang w:val="en-US"/>
        </w:rPr>
        <w:t xml:space="preserve"> conservations </w:t>
      </w:r>
      <w:r w:rsidR="00FE3379" w:rsidRPr="00662DD3">
        <w:rPr>
          <w:lang w:val="en-US"/>
        </w:rPr>
        <w:t xml:space="preserve">of </w:t>
      </w:r>
      <w:r w:rsidR="00934728" w:rsidRPr="00662DD3">
        <w:rPr>
          <w:lang w:val="en-US"/>
        </w:rPr>
        <w:t>immovable cultural heritage or asset.</w:t>
      </w:r>
    </w:p>
    <w:p w14:paraId="131B2C12" w14:textId="4A1F4383" w:rsidR="00104D73" w:rsidRPr="00662DD3" w:rsidRDefault="00104D73" w:rsidP="003900DF">
      <w:pPr>
        <w:pStyle w:val="3"/>
        <w:widowControl w:val="0"/>
        <w:numPr>
          <w:ilvl w:val="0"/>
          <w:numId w:val="0"/>
        </w:numPr>
        <w:rPr>
          <w:lang w:val="en-US"/>
        </w:rPr>
      </w:pPr>
      <w:r w:rsidRPr="00662DD3">
        <w:rPr>
          <w:lang w:val="en-US"/>
        </w:rPr>
        <w:t>The documents with which compliance with the technical and prof</w:t>
      </w:r>
      <w:bookmarkStart w:id="2" w:name="_GoBack"/>
      <w:bookmarkEnd w:id="2"/>
      <w:r w:rsidRPr="00662DD3">
        <w:rPr>
          <w:lang w:val="en-US"/>
        </w:rPr>
        <w:t xml:space="preserve">essional capacity under point 14.b.1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147674C0" w14:textId="2EEED209" w:rsidR="00104D73" w:rsidRPr="00662DD3" w:rsidRDefault="00104D73" w:rsidP="001E2442">
      <w:pPr>
        <w:pStyle w:val="3"/>
        <w:widowControl w:val="0"/>
        <w:numPr>
          <w:ilvl w:val="0"/>
          <w:numId w:val="0"/>
        </w:numPr>
        <w:rPr>
          <w:lang w:val="en-US"/>
        </w:rPr>
      </w:pPr>
      <w:r w:rsidRPr="00662DD3">
        <w:rPr>
          <w:b/>
          <w:i/>
          <w:lang w:val="en-US"/>
        </w:rPr>
        <w:t xml:space="preserve">For Lot 2: 14.b.2 </w:t>
      </w:r>
      <w:r w:rsidRPr="00662DD3">
        <w:rPr>
          <w:b/>
          <w:lang w:val="en-US"/>
        </w:rPr>
        <w:t xml:space="preserve">- </w:t>
      </w:r>
      <w:r w:rsidRPr="00662DD3">
        <w:rPr>
          <w:lang w:val="en-US"/>
        </w:rPr>
        <w:t xml:space="preserve">it must have completed at least </w:t>
      </w:r>
      <w:r w:rsidR="00590B85" w:rsidRPr="00662DD3">
        <w:rPr>
          <w:lang w:val="en-US"/>
        </w:rPr>
        <w:t xml:space="preserve">1 construction </w:t>
      </w:r>
      <w:r w:rsidRPr="00662DD3">
        <w:rPr>
          <w:lang w:val="en-US"/>
        </w:rPr>
        <w:t xml:space="preserve">works contract and/or project of the same nature and complexity as the works </w:t>
      </w:r>
      <w:r w:rsidRPr="00662DD3">
        <w:rPr>
          <w:b/>
          <w:lang w:val="en-US"/>
        </w:rPr>
        <w:t>concerned</w:t>
      </w:r>
      <w:r w:rsidRPr="00662DD3">
        <w:rPr>
          <w:lang w:val="en-US"/>
        </w:rPr>
        <w:t xml:space="preserve"> by Lot 2 of the tender and implemented during the following period: </w:t>
      </w:r>
      <w:r w:rsidR="00EF4A3C">
        <w:rPr>
          <w:b/>
          <w:lang w:val="en-US"/>
        </w:rPr>
        <w:t>01.03</w:t>
      </w:r>
      <w:r w:rsidR="00A2121C" w:rsidRPr="00662DD3">
        <w:rPr>
          <w:b/>
          <w:lang w:val="en-US"/>
        </w:rPr>
        <w:t>.2016 –</w:t>
      </w:r>
      <w:r w:rsidR="00A2121C" w:rsidRPr="00662DD3">
        <w:rPr>
          <w:lang w:val="en-US"/>
        </w:rPr>
        <w:t xml:space="preserve"> </w:t>
      </w:r>
      <w:r w:rsidR="00A2121C">
        <w:rPr>
          <w:b/>
          <w:lang w:val="en-US"/>
        </w:rPr>
        <w:t>01</w:t>
      </w:r>
      <w:r w:rsidR="00A2121C" w:rsidRPr="00662DD3">
        <w:rPr>
          <w:b/>
          <w:lang w:val="en-US"/>
        </w:rPr>
        <w:t>.0</w:t>
      </w:r>
      <w:r w:rsidR="00A2121C">
        <w:rPr>
          <w:b/>
          <w:lang w:val="en-US"/>
        </w:rPr>
        <w:t>3</w:t>
      </w:r>
      <w:r w:rsidR="00A2121C" w:rsidRPr="00662DD3">
        <w:rPr>
          <w:b/>
          <w:lang w:val="en-US"/>
        </w:rPr>
        <w:t xml:space="preserve">.2021 </w:t>
      </w:r>
      <w:r w:rsidRPr="00662DD3">
        <w:rPr>
          <w:lang w:val="en-US"/>
        </w:rPr>
        <w:t xml:space="preserve">which period is 5 years counting from the submission deadline. The contracting authority reserves the right to ask for copies of certificates of final acceptance signed by the supervisors/contracting authority of the contracts and/or projects concerned. </w:t>
      </w:r>
    </w:p>
    <w:p w14:paraId="62AA97D3" w14:textId="3C43E91A" w:rsidR="00876880" w:rsidRPr="00662DD3" w:rsidRDefault="00104D73" w:rsidP="00EB034E">
      <w:pPr>
        <w:pStyle w:val="3"/>
        <w:widowControl w:val="0"/>
        <w:numPr>
          <w:ilvl w:val="0"/>
          <w:numId w:val="0"/>
        </w:numPr>
        <w:rPr>
          <w:lang w:val="en-US"/>
        </w:rPr>
      </w:pPr>
      <w:r w:rsidRPr="00662DD3">
        <w:rPr>
          <w:lang w:val="en-US"/>
        </w:rPr>
        <w:t>Contract/project of the same nature and complexity for Lot 2 is considered a contract and/or project for</w:t>
      </w:r>
      <w:r w:rsidR="004E1DA5" w:rsidRPr="00662DD3">
        <w:rPr>
          <w:lang w:val="en-US"/>
        </w:rPr>
        <w:t xml:space="preserve"> </w:t>
      </w:r>
      <w:r w:rsidR="000E6C62" w:rsidRPr="00662DD3">
        <w:rPr>
          <w:lang w:val="en-US"/>
        </w:rPr>
        <w:t>repair and</w:t>
      </w:r>
      <w:r w:rsidR="0085657C" w:rsidRPr="00662DD3">
        <w:rPr>
          <w:lang w:val="en-US"/>
        </w:rPr>
        <w:t>/</w:t>
      </w:r>
      <w:r w:rsidR="000E6C62" w:rsidRPr="00662DD3">
        <w:rPr>
          <w:lang w:val="en-US"/>
        </w:rPr>
        <w:t>or renovation and</w:t>
      </w:r>
      <w:r w:rsidR="0085657C" w:rsidRPr="00662DD3">
        <w:rPr>
          <w:lang w:val="en-US"/>
        </w:rPr>
        <w:t xml:space="preserve">/or </w:t>
      </w:r>
      <w:r w:rsidR="004B3E45" w:rsidRPr="00662DD3">
        <w:rPr>
          <w:lang w:val="en-US"/>
        </w:rPr>
        <w:t xml:space="preserve">reconstruction </w:t>
      </w:r>
      <w:r w:rsidR="004E1DA5" w:rsidRPr="00662DD3">
        <w:rPr>
          <w:lang w:val="en-US"/>
        </w:rPr>
        <w:t xml:space="preserve">and/or rehabilitation </w:t>
      </w:r>
      <w:r w:rsidR="000E6C62" w:rsidRPr="00662DD3">
        <w:rPr>
          <w:lang w:val="en-US"/>
        </w:rPr>
        <w:t xml:space="preserve">and/or </w:t>
      </w:r>
      <w:r w:rsidR="00C6466E" w:rsidRPr="00662DD3">
        <w:rPr>
          <w:lang w:val="en-US"/>
        </w:rPr>
        <w:t xml:space="preserve">installation of </w:t>
      </w:r>
      <w:r w:rsidR="00EB034E" w:rsidRPr="00662DD3">
        <w:rPr>
          <w:lang w:val="en-US"/>
        </w:rPr>
        <w:t>facilities o</w:t>
      </w:r>
      <w:r w:rsidR="000C2CE9" w:rsidRPr="00662DD3">
        <w:rPr>
          <w:lang w:val="en-US"/>
        </w:rPr>
        <w:t>n</w:t>
      </w:r>
      <w:r w:rsidR="00EB034E" w:rsidRPr="00662DD3">
        <w:rPr>
          <w:lang w:val="en-US"/>
        </w:rPr>
        <w:t xml:space="preserve"> open areas for public and private use.</w:t>
      </w:r>
    </w:p>
    <w:p w14:paraId="32E3DEAE" w14:textId="77777777" w:rsidR="00104D73" w:rsidRPr="00662DD3" w:rsidRDefault="00104D73" w:rsidP="003900DF">
      <w:pPr>
        <w:pStyle w:val="3"/>
        <w:widowControl w:val="0"/>
        <w:numPr>
          <w:ilvl w:val="0"/>
          <w:numId w:val="0"/>
        </w:numPr>
        <w:rPr>
          <w:lang w:val="en-US"/>
        </w:rPr>
      </w:pPr>
      <w:r w:rsidRPr="00662DD3">
        <w:rPr>
          <w:lang w:val="en-US"/>
        </w:rPr>
        <w:t xml:space="preserve">The documents with which compliance with the technical and professional capacity under point 14.b.2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73E5D20F" w14:textId="03491611" w:rsidR="00104D73" w:rsidRPr="00662DD3" w:rsidRDefault="00104D73" w:rsidP="001E2442">
      <w:pPr>
        <w:pStyle w:val="3"/>
        <w:widowControl w:val="0"/>
        <w:numPr>
          <w:ilvl w:val="0"/>
          <w:numId w:val="0"/>
        </w:numPr>
        <w:rPr>
          <w:lang w:val="en-US"/>
        </w:rPr>
      </w:pPr>
      <w:r w:rsidRPr="00662DD3">
        <w:rPr>
          <w:b/>
          <w:i/>
          <w:lang w:val="en-US"/>
        </w:rPr>
        <w:t xml:space="preserve">For Lot 3: 14.b.3 </w:t>
      </w:r>
      <w:r w:rsidRPr="00662DD3">
        <w:rPr>
          <w:b/>
          <w:lang w:val="en-US"/>
        </w:rPr>
        <w:t xml:space="preserve">- </w:t>
      </w:r>
      <w:r w:rsidRPr="00662DD3">
        <w:rPr>
          <w:lang w:val="en-US"/>
        </w:rPr>
        <w:t xml:space="preserve">it must have completed at least 1 construction works contract and/or project of the same nature and complexity as the works </w:t>
      </w:r>
      <w:r w:rsidRPr="00662DD3">
        <w:rPr>
          <w:b/>
          <w:lang w:val="en-US"/>
        </w:rPr>
        <w:t>concerned</w:t>
      </w:r>
      <w:r w:rsidRPr="00662DD3">
        <w:rPr>
          <w:lang w:val="en-US"/>
        </w:rPr>
        <w:t xml:space="preserve"> by Lot </w:t>
      </w:r>
      <w:r w:rsidR="003900DF" w:rsidRPr="00662DD3">
        <w:rPr>
          <w:lang w:val="en-US"/>
        </w:rPr>
        <w:t>3</w:t>
      </w:r>
      <w:r w:rsidRPr="00662DD3">
        <w:rPr>
          <w:lang w:val="en-US"/>
        </w:rPr>
        <w:t xml:space="preserve"> of the tender and implemented during the following period: </w:t>
      </w:r>
      <w:r w:rsidR="00EF4A3C">
        <w:rPr>
          <w:b/>
          <w:lang w:val="en-US"/>
        </w:rPr>
        <w:t>01.03</w:t>
      </w:r>
      <w:r w:rsidR="00A2121C" w:rsidRPr="00662DD3">
        <w:rPr>
          <w:b/>
          <w:lang w:val="en-US"/>
        </w:rPr>
        <w:t>.2016 –</w:t>
      </w:r>
      <w:r w:rsidR="00A2121C" w:rsidRPr="00662DD3">
        <w:rPr>
          <w:lang w:val="en-US"/>
        </w:rPr>
        <w:t xml:space="preserve"> </w:t>
      </w:r>
      <w:r w:rsidR="00A2121C">
        <w:rPr>
          <w:b/>
          <w:lang w:val="en-US"/>
        </w:rPr>
        <w:t>01</w:t>
      </w:r>
      <w:r w:rsidR="00A2121C" w:rsidRPr="00662DD3">
        <w:rPr>
          <w:b/>
          <w:lang w:val="en-US"/>
        </w:rPr>
        <w:t>.0</w:t>
      </w:r>
      <w:r w:rsidR="00A2121C">
        <w:rPr>
          <w:b/>
          <w:lang w:val="en-US"/>
        </w:rPr>
        <w:t>3</w:t>
      </w:r>
      <w:r w:rsidR="00A2121C" w:rsidRPr="00662DD3">
        <w:rPr>
          <w:b/>
          <w:lang w:val="en-US"/>
        </w:rPr>
        <w:t xml:space="preserve">.2021 </w:t>
      </w:r>
      <w:r w:rsidRPr="00662DD3">
        <w:rPr>
          <w:lang w:val="en-US"/>
        </w:rPr>
        <w:t xml:space="preserve">which period is 5 years counting from the submission deadline. The contracting authority reserves the right to ask for copies of certificates of final acceptance signed by the supervisors/contracting authority of the contracts and/or projects concerned. </w:t>
      </w:r>
    </w:p>
    <w:p w14:paraId="328A0F25" w14:textId="77A79A8D" w:rsidR="001853F1" w:rsidRPr="00662DD3" w:rsidRDefault="001853F1" w:rsidP="001853F1">
      <w:pPr>
        <w:pStyle w:val="3"/>
        <w:widowControl w:val="0"/>
        <w:numPr>
          <w:ilvl w:val="0"/>
          <w:numId w:val="0"/>
        </w:numPr>
        <w:rPr>
          <w:lang w:val="en-US"/>
        </w:rPr>
      </w:pPr>
      <w:r w:rsidRPr="00662DD3">
        <w:rPr>
          <w:lang w:val="en-US"/>
        </w:rPr>
        <w:lastRenderedPageBreak/>
        <w:t>Contract/project of the same nature and complexity for Lot 3 is considered a contract and/or project for repair and/or renovation and/or reconstruction and/or rehabilitation and/or installation of facilities on open areas for public and private use.</w:t>
      </w:r>
    </w:p>
    <w:p w14:paraId="0AFBCF36" w14:textId="17C9C71B" w:rsidR="00104D73" w:rsidRPr="00662DD3" w:rsidRDefault="00104D73" w:rsidP="001E2442">
      <w:pPr>
        <w:pStyle w:val="3"/>
        <w:widowControl w:val="0"/>
        <w:numPr>
          <w:ilvl w:val="0"/>
          <w:numId w:val="0"/>
        </w:numPr>
        <w:rPr>
          <w:lang w:val="en-US"/>
        </w:rPr>
      </w:pPr>
      <w:r w:rsidRPr="00662DD3">
        <w:rPr>
          <w:lang w:val="en-US"/>
        </w:rPr>
        <w:t xml:space="preserve">The documents with which compliance with the technical and professional capacity under point 14.b.3 is proved are list of the most significant works which must be accompanied by certificates of satisfactory execution, issued by the contracting authority or entity who ordered or purchased the works, specifying whether they have been carried out in a professional manner and have been fully completed. </w:t>
      </w:r>
    </w:p>
    <w:p w14:paraId="6AE2985E" w14:textId="1EE540EB" w:rsidR="00104D73" w:rsidRPr="00662DD3" w:rsidRDefault="00104D73" w:rsidP="003900DF">
      <w:pPr>
        <w:pStyle w:val="3"/>
        <w:widowControl w:val="0"/>
        <w:numPr>
          <w:ilvl w:val="0"/>
          <w:numId w:val="0"/>
        </w:numPr>
        <w:rPr>
          <w:lang w:val="en-US"/>
        </w:rPr>
      </w:pPr>
      <w:r w:rsidRPr="00662DD3">
        <w:rPr>
          <w:b/>
          <w:bCs/>
          <w:lang w:val="en-US"/>
        </w:rPr>
        <w:t>For Lot 1:</w:t>
      </w:r>
      <w:r w:rsidRPr="00662DD3">
        <w:rPr>
          <w:lang w:val="en-US"/>
        </w:rPr>
        <w:t xml:space="preserve"> </w:t>
      </w:r>
      <w:r w:rsidRPr="00662DD3">
        <w:rPr>
          <w:b/>
          <w:i/>
          <w:lang w:val="en-US"/>
        </w:rPr>
        <w:t>14.c.1</w:t>
      </w:r>
      <w:r w:rsidRPr="00662DD3">
        <w:rPr>
          <w:lang w:val="en-US"/>
        </w:rPr>
        <w:t xml:space="preserve"> 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The construction site is </w:t>
      </w:r>
      <w:proofErr w:type="spellStart"/>
      <w:r w:rsidRPr="00662DD3">
        <w:rPr>
          <w:lang w:val="en-US"/>
        </w:rPr>
        <w:t>IV</w:t>
      </w:r>
      <w:r w:rsidRPr="00662DD3">
        <w:rPr>
          <w:vertAlign w:val="superscript"/>
          <w:lang w:val="en-US"/>
        </w:rPr>
        <w:t>th</w:t>
      </w:r>
      <w:proofErr w:type="spellEnd"/>
      <w:r w:rsidRPr="00662DD3">
        <w:rPr>
          <w:vertAlign w:val="superscript"/>
          <w:lang w:val="en-US"/>
        </w:rPr>
        <w:t xml:space="preserve"> </w:t>
      </w:r>
      <w:r w:rsidRPr="00662DD3">
        <w:rPr>
          <w:lang w:val="en-US"/>
        </w:rPr>
        <w:t xml:space="preserve">/fourth/ category as per art. 137, par. 1, point 4, </w:t>
      </w:r>
      <w:r w:rsidR="006C299F" w:rsidRPr="00662DD3">
        <w:rPr>
          <w:lang w:val="en-US"/>
        </w:rPr>
        <w:t>letter «d</w:t>
      </w:r>
      <w:r w:rsidRPr="00662DD3">
        <w:rPr>
          <w:lang w:val="en-US"/>
        </w:rPr>
        <w:t>»</w:t>
      </w:r>
      <w:r w:rsidR="001F4887" w:rsidRPr="00662DD3">
        <w:rPr>
          <w:lang w:val="bg-BG"/>
        </w:rPr>
        <w:t xml:space="preserve"> </w:t>
      </w:r>
      <w:r w:rsidRPr="00662DD3">
        <w:rPr>
          <w:lang w:val="en-US"/>
        </w:rPr>
        <w:t xml:space="preserve">of the Spatial Planning Law (SPL) and it is first group </w:t>
      </w:r>
      <w:r w:rsidR="002F7DAB" w:rsidRPr="00662DD3">
        <w:rPr>
          <w:lang w:val="en-US"/>
        </w:rPr>
        <w:t>as per art. 5, par. 6, point 1.</w:t>
      </w:r>
      <w:r w:rsidR="001F4887" w:rsidRPr="00662DD3">
        <w:rPr>
          <w:lang w:val="bg-BG"/>
        </w:rPr>
        <w:t>4.3</w:t>
      </w:r>
      <w:r w:rsidRPr="00662DD3">
        <w:rPr>
          <w:lang w:val="en-US"/>
        </w:rPr>
        <w:t xml:space="preserve"> of the Rules and Procedure for Recording and Keeping of the Central Register of Professional Builders. </w:t>
      </w:r>
      <w:r w:rsidR="0023559E" w:rsidRPr="00662DD3">
        <w:rPr>
          <w:lang w:val="en-US"/>
        </w:rPr>
        <w:t xml:space="preserve">The Clock Tower of </w:t>
      </w:r>
      <w:proofErr w:type="spellStart"/>
      <w:r w:rsidR="0023559E" w:rsidRPr="00662DD3">
        <w:rPr>
          <w:lang w:val="en-US"/>
        </w:rPr>
        <w:t>Botevgrad</w:t>
      </w:r>
      <w:proofErr w:type="spellEnd"/>
      <w:r w:rsidR="0023559E" w:rsidRPr="00662DD3">
        <w:rPr>
          <w:lang w:val="en-US"/>
        </w:rPr>
        <w:t xml:space="preserve"> is a</w:t>
      </w:r>
      <w:r w:rsidR="00E04C12" w:rsidRPr="00662DD3">
        <w:rPr>
          <w:lang w:val="en-US"/>
        </w:rPr>
        <w:t>n</w:t>
      </w:r>
      <w:r w:rsidR="0023559E" w:rsidRPr="00662DD3">
        <w:rPr>
          <w:lang w:val="en-US"/>
        </w:rPr>
        <w:t xml:space="preserve"> immovable cultural heritage of national importance. </w:t>
      </w:r>
    </w:p>
    <w:p w14:paraId="1584F965" w14:textId="4E6FD9D1" w:rsidR="00104D73" w:rsidRPr="00662DD3" w:rsidRDefault="00104D73" w:rsidP="003900DF">
      <w:pPr>
        <w:pStyle w:val="3"/>
        <w:widowControl w:val="0"/>
        <w:numPr>
          <w:ilvl w:val="0"/>
          <w:numId w:val="0"/>
        </w:numPr>
        <w:rPr>
          <w:lang w:val="en-US"/>
        </w:rPr>
      </w:pPr>
      <w:r w:rsidRPr="00662DD3">
        <w:rPr>
          <w:b/>
          <w:bCs/>
          <w:lang w:val="en-US"/>
        </w:rPr>
        <w:t>For Lot 2:</w:t>
      </w:r>
      <w:r w:rsidRPr="00662DD3">
        <w:rPr>
          <w:lang w:val="en-US"/>
        </w:rPr>
        <w:t xml:space="preserve"> </w:t>
      </w:r>
      <w:r w:rsidRPr="00662DD3">
        <w:rPr>
          <w:b/>
          <w:i/>
          <w:lang w:val="en-US"/>
        </w:rPr>
        <w:t xml:space="preserve">14.c.2 </w:t>
      </w:r>
      <w:r w:rsidRPr="00662DD3">
        <w:rPr>
          <w:lang w:val="en-US"/>
        </w:rPr>
        <w:t xml:space="preserve">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w:t>
      </w:r>
      <w:r w:rsidR="00D92416" w:rsidRPr="00662DD3">
        <w:rPr>
          <w:lang w:val="en-US"/>
        </w:rPr>
        <w:t xml:space="preserve">The construction activities represent separate type of construction works as per the National Classification of Economic </w:t>
      </w:r>
      <w:r w:rsidR="002664F5" w:rsidRPr="00662DD3">
        <w:rPr>
          <w:lang w:val="en-US"/>
        </w:rPr>
        <w:t>A</w:t>
      </w:r>
      <w:r w:rsidR="00D92416" w:rsidRPr="00662DD3">
        <w:rPr>
          <w:lang w:val="en-US"/>
        </w:rPr>
        <w:t>ctivity</w:t>
      </w:r>
      <w:r w:rsidR="002664F5" w:rsidRPr="00662DD3">
        <w:rPr>
          <w:lang w:val="en-US"/>
        </w:rPr>
        <w:t xml:space="preserve"> </w:t>
      </w:r>
      <w:r w:rsidR="00D92416" w:rsidRPr="00662DD3">
        <w:rPr>
          <w:lang w:val="en-US"/>
        </w:rPr>
        <w:t>from 2008</w:t>
      </w:r>
      <w:r w:rsidR="002664F5" w:rsidRPr="00662DD3">
        <w:rPr>
          <w:lang w:val="en-US"/>
        </w:rPr>
        <w:t xml:space="preserve"> (NCEA </w:t>
      </w:r>
      <w:r w:rsidR="00F85EDA" w:rsidRPr="00662DD3">
        <w:rPr>
          <w:lang w:val="en-US"/>
        </w:rPr>
        <w:t xml:space="preserve">- </w:t>
      </w:r>
      <w:r w:rsidR="002664F5" w:rsidRPr="00662DD3">
        <w:rPr>
          <w:lang w:val="en-US"/>
        </w:rPr>
        <w:t>2008)</w:t>
      </w:r>
      <w:r w:rsidR="00D92416" w:rsidRPr="00662DD3">
        <w:rPr>
          <w:lang w:val="en-US"/>
        </w:rPr>
        <w:t xml:space="preserve">, Section F. In accordance to </w:t>
      </w:r>
      <w:r w:rsidR="007D0ECC" w:rsidRPr="00662DD3">
        <w:rPr>
          <w:lang w:val="en-US"/>
        </w:rPr>
        <w:t xml:space="preserve">art. </w:t>
      </w:r>
      <w:r w:rsidR="00D92416" w:rsidRPr="00662DD3">
        <w:rPr>
          <w:lang w:val="en-US"/>
        </w:rPr>
        <w:t xml:space="preserve">6 </w:t>
      </w:r>
      <w:r w:rsidR="004C4A41" w:rsidRPr="00662DD3">
        <w:rPr>
          <w:lang w:val="en-US"/>
        </w:rPr>
        <w:t xml:space="preserve">of </w:t>
      </w:r>
      <w:r w:rsidRPr="00662DD3">
        <w:rPr>
          <w:lang w:val="en-US"/>
        </w:rPr>
        <w:t>the Rules and Procedure for Recording and Keeping of the Central Register of Professional Builders</w:t>
      </w:r>
      <w:r w:rsidR="00D92416" w:rsidRPr="00662DD3">
        <w:rPr>
          <w:lang w:val="en-US"/>
        </w:rPr>
        <w:t xml:space="preserve"> “The builders who perform separate types of construction and installation works, presented in </w:t>
      </w:r>
      <w:r w:rsidR="002664F5" w:rsidRPr="00662DD3">
        <w:rPr>
          <w:lang w:val="en-US"/>
        </w:rPr>
        <w:t>NCEA</w:t>
      </w:r>
      <w:r w:rsidR="00F85EDA" w:rsidRPr="00662DD3">
        <w:rPr>
          <w:lang w:val="en-US"/>
        </w:rPr>
        <w:t xml:space="preserve"> - </w:t>
      </w:r>
      <w:r w:rsidR="002664F5" w:rsidRPr="00662DD3">
        <w:rPr>
          <w:lang w:val="en-US"/>
        </w:rPr>
        <w:t>2008</w:t>
      </w:r>
      <w:r w:rsidR="00D92416" w:rsidRPr="00662DD3">
        <w:rPr>
          <w:lang w:val="en-US"/>
        </w:rPr>
        <w:t xml:space="preserve">, position </w:t>
      </w:r>
      <w:r w:rsidR="00CC43A0" w:rsidRPr="00662DD3">
        <w:rPr>
          <w:lang w:val="en-US"/>
        </w:rPr>
        <w:t>“</w:t>
      </w:r>
      <w:r w:rsidR="00D92416" w:rsidRPr="00662DD3">
        <w:rPr>
          <w:lang w:val="en-US"/>
        </w:rPr>
        <w:t>Construction</w:t>
      </w:r>
      <w:r w:rsidR="00CC43A0" w:rsidRPr="00662DD3">
        <w:rPr>
          <w:lang w:val="en-US"/>
        </w:rPr>
        <w:t>”</w:t>
      </w:r>
      <w:r w:rsidR="00D92416" w:rsidRPr="00662DD3">
        <w:rPr>
          <w:lang w:val="en-US"/>
        </w:rPr>
        <w:t xml:space="preserve"> and which are subject to entry in the register according to art. 3, para. 2 </w:t>
      </w:r>
      <w:r w:rsidR="00CC43A0" w:rsidRPr="00662DD3">
        <w:rPr>
          <w:lang w:val="en-US"/>
        </w:rPr>
        <w:t>Law on Chamber of Builders</w:t>
      </w:r>
      <w:r w:rsidR="00D92416" w:rsidRPr="00662DD3">
        <w:rPr>
          <w:lang w:val="en-US"/>
        </w:rPr>
        <w:t xml:space="preserve">, is entered in the register in an independent group with a subdivision corresponding to </w:t>
      </w:r>
      <w:r w:rsidR="00F85EDA" w:rsidRPr="00662DD3">
        <w:rPr>
          <w:lang w:val="en-US"/>
        </w:rPr>
        <w:t>NCEA - 2008</w:t>
      </w:r>
      <w:r w:rsidR="00D92416" w:rsidRPr="00662DD3">
        <w:rPr>
          <w:lang w:val="en-US"/>
        </w:rPr>
        <w:t>.”</w:t>
      </w:r>
      <w:r w:rsidRPr="00662DD3">
        <w:rPr>
          <w:lang w:val="en-US"/>
        </w:rPr>
        <w:t>.</w:t>
      </w:r>
    </w:p>
    <w:p w14:paraId="4E138A8D" w14:textId="77777777" w:rsidR="008A34DA" w:rsidRPr="00662DD3" w:rsidRDefault="00104D73" w:rsidP="003900DF">
      <w:pPr>
        <w:pStyle w:val="3"/>
        <w:widowControl w:val="0"/>
        <w:numPr>
          <w:ilvl w:val="0"/>
          <w:numId w:val="0"/>
        </w:numPr>
        <w:rPr>
          <w:lang w:val="en-US"/>
        </w:rPr>
      </w:pPr>
      <w:r w:rsidRPr="00662DD3">
        <w:rPr>
          <w:b/>
          <w:bCs/>
          <w:lang w:val="en-US"/>
        </w:rPr>
        <w:t>For Lot 3:</w:t>
      </w:r>
      <w:r w:rsidRPr="00662DD3">
        <w:rPr>
          <w:lang w:val="en-US"/>
        </w:rPr>
        <w:t xml:space="preserve"> </w:t>
      </w:r>
      <w:r w:rsidRPr="00662DD3">
        <w:rPr>
          <w:b/>
          <w:i/>
          <w:lang w:val="en-US"/>
        </w:rPr>
        <w:t xml:space="preserve">14.c.3 </w:t>
      </w:r>
      <w:r w:rsidRPr="00662DD3">
        <w:rPr>
          <w:lang w:val="en-US"/>
        </w:rPr>
        <w:t xml:space="preserve">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a Member State of the Union or of another country - party to the Agreement </w:t>
      </w:r>
      <w:r w:rsidRPr="00662DD3">
        <w:rPr>
          <w:lang w:val="en-US"/>
        </w:rPr>
        <w:lastRenderedPageBreak/>
        <w:t xml:space="preserve">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w:t>
      </w:r>
      <w:r w:rsidR="008A34DA" w:rsidRPr="00662DD3">
        <w:rPr>
          <w:lang w:val="en-US"/>
        </w:rPr>
        <w:t>The construction activities represent separate type of construction works as per the National Classification of Economic Activity from 2008 (NCEA - 2008), Section F. In accordance to art. 6 of the Rules and Procedure for Recording and Keeping of the Central Register of Professional Builders “The builders who perform separate types of construction and installation works, presented in NCEA - 2008, position “Construction” and which are subject to entry in the register according to art. 3, para. 2 Law on Chamber of Builders, is entered in the register in an independent group with a subdivision corresponding to NCEA - 2008.”.</w:t>
      </w:r>
    </w:p>
    <w:p w14:paraId="2960611F" w14:textId="53285A0D" w:rsidR="00104D73" w:rsidRPr="00662DD3" w:rsidRDefault="00104D73" w:rsidP="003900DF">
      <w:pPr>
        <w:pStyle w:val="3"/>
        <w:widowControl w:val="0"/>
        <w:numPr>
          <w:ilvl w:val="0"/>
          <w:numId w:val="0"/>
        </w:numPr>
        <w:rPr>
          <w:lang w:val="en-US"/>
        </w:rPr>
      </w:pPr>
      <w:r w:rsidRPr="00662DD3">
        <w:rPr>
          <w:b/>
          <w:bCs/>
          <w:lang w:val="en-US"/>
        </w:rPr>
        <w:t xml:space="preserve">For Lot 1: </w:t>
      </w:r>
      <w:r w:rsidRPr="00662DD3">
        <w:rPr>
          <w:b/>
          <w:i/>
          <w:lang w:val="en-US"/>
        </w:rPr>
        <w:t xml:space="preserve">14.d.1 </w:t>
      </w:r>
      <w:r w:rsidRPr="00662DD3">
        <w:rPr>
          <w:lang w:val="en-US"/>
        </w:rPr>
        <w:t xml:space="preserve">According to art. 171 of the Bulgarian Spatial Planning Law entities executing construction in Bulgaria should have a professional liability insurance under the ORDINANCE OF THE TERMS AND CONDITIONS OF COMPULSORY INSURANCE IN DESIGN AND CONSTRUCTION from 2004. At the moment of provision of the tender offer tenderers are not obliged to prove that they meet this </w:t>
      </w:r>
      <w:r w:rsidRPr="00662DD3">
        <w:rPr>
          <w:color w:val="000000"/>
          <w:lang w:val="en-US"/>
        </w:rPr>
        <w:t xml:space="preserve">requirement. However, the chosen contractor, before signing the contract must provide evidence of relevant professional risk </w:t>
      </w:r>
      <w:r w:rsidRPr="00662DD3">
        <w:rPr>
          <w:lang w:val="en-US"/>
        </w:rPr>
        <w:t xml:space="preserve">indemnity insurance according to the provision of art. 5 of the stated ordinance or equivalent document according to the legislation of a Member State of the Union or of another country - party to the Agreement on the European Economic Area or of the Swiss Confederation, where the contractor is registered or has its operations. The construction site is </w:t>
      </w:r>
      <w:proofErr w:type="spellStart"/>
      <w:r w:rsidRPr="00662DD3">
        <w:rPr>
          <w:lang w:val="en-US"/>
        </w:rPr>
        <w:t>IV</w:t>
      </w:r>
      <w:r w:rsidRPr="00662DD3">
        <w:rPr>
          <w:vertAlign w:val="superscript"/>
          <w:lang w:val="en-US"/>
        </w:rPr>
        <w:t>th</w:t>
      </w:r>
      <w:proofErr w:type="spellEnd"/>
      <w:r w:rsidRPr="00662DD3">
        <w:rPr>
          <w:vertAlign w:val="superscript"/>
          <w:lang w:val="en-US"/>
        </w:rPr>
        <w:t xml:space="preserve"> </w:t>
      </w:r>
      <w:r w:rsidRPr="00662DD3">
        <w:rPr>
          <w:lang w:val="en-US"/>
        </w:rPr>
        <w:t>/fourth/ category as per art. 137, par. 1, point 4, letter «</w:t>
      </w:r>
      <w:r w:rsidR="006447F8" w:rsidRPr="00662DD3">
        <w:rPr>
          <w:lang w:val="en-US"/>
        </w:rPr>
        <w:t>d</w:t>
      </w:r>
      <w:r w:rsidRPr="00662DD3">
        <w:rPr>
          <w:lang w:val="en-US"/>
        </w:rPr>
        <w:t>» of the Spatial Planning Law (SPL).</w:t>
      </w:r>
    </w:p>
    <w:p w14:paraId="0C9A829A" w14:textId="77777777" w:rsidR="00104D73" w:rsidRPr="00662DD3" w:rsidRDefault="00104D73" w:rsidP="003900DF">
      <w:pPr>
        <w:jc w:val="both"/>
        <w:rPr>
          <w:sz w:val="22"/>
          <w:u w:val="single"/>
          <w:lang w:val="en-US"/>
        </w:rPr>
      </w:pPr>
      <w:r w:rsidRPr="00662DD3">
        <w:rPr>
          <w:sz w:val="22"/>
          <w:u w:val="single"/>
          <w:lang w:val="en-US"/>
        </w:rPr>
        <w:t>Capacity-providing entities:</w:t>
      </w:r>
    </w:p>
    <w:p w14:paraId="1E911701" w14:textId="6E81867F" w:rsidR="00104D73" w:rsidRPr="00662DD3" w:rsidRDefault="00104D73" w:rsidP="003900DF">
      <w:pPr>
        <w:jc w:val="both"/>
        <w:rPr>
          <w:sz w:val="22"/>
          <w:lang w:val="en-US"/>
        </w:rPr>
      </w:pPr>
      <w:r w:rsidRPr="00662DD3">
        <w:rPr>
          <w:sz w:val="22"/>
          <w:lang w:val="en-US"/>
        </w:rPr>
        <w:t>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w:t>
      </w:r>
      <w:r w:rsidR="00DD0D7B" w:rsidRPr="00662DD3">
        <w:rPr>
          <w:sz w:val="22"/>
          <w:lang w:val="en-US"/>
        </w:rPr>
        <w:t xml:space="preserve"> </w:t>
      </w:r>
    </w:p>
    <w:p w14:paraId="3F2C38A9" w14:textId="77777777" w:rsidR="00104D73" w:rsidRPr="00662DD3" w:rsidRDefault="00104D73" w:rsidP="003900DF">
      <w:pPr>
        <w:jc w:val="both"/>
        <w:rPr>
          <w:sz w:val="22"/>
          <w:lang w:val="en-US"/>
        </w:rPr>
      </w:pPr>
      <w:r w:rsidRPr="00662DD3">
        <w:rPr>
          <w:sz w:val="22"/>
          <w:lang w:val="en-US"/>
        </w:rPr>
        <w:t>With regard to technical and professional criteria, a tenderer may only rely on the capacities of other entities where the latter will perform the works for which these capacities are required.</w:t>
      </w:r>
    </w:p>
    <w:p w14:paraId="1E86872F" w14:textId="77777777" w:rsidR="00104D73" w:rsidRPr="00662DD3" w:rsidRDefault="00104D73" w:rsidP="003900DF">
      <w:pPr>
        <w:jc w:val="both"/>
        <w:rPr>
          <w:sz w:val="22"/>
          <w:lang w:val="en-US"/>
        </w:rPr>
      </w:pPr>
      <w:r w:rsidRPr="00662DD3">
        <w:rPr>
          <w:sz w:val="22"/>
          <w:lang w:val="en-US"/>
        </w:rPr>
        <w:t>With regard to economic and financial criteria, the entities upon whose capacity the tenderer relies, become jointly and severally liable for the performance of the contract.</w:t>
      </w:r>
    </w:p>
    <w:p w14:paraId="139B88C6" w14:textId="10EB8D1C" w:rsidR="00833DA6" w:rsidRPr="00662DD3" w:rsidRDefault="008A0A49" w:rsidP="003900DF">
      <w:pPr>
        <w:snapToGrid w:val="0"/>
        <w:jc w:val="both"/>
        <w:rPr>
          <w:sz w:val="22"/>
          <w:lang w:val="en-US"/>
        </w:rPr>
      </w:pPr>
      <w:r w:rsidRPr="00662DD3">
        <w:rPr>
          <w:sz w:val="22"/>
          <w:lang w:val="en-US"/>
        </w:rPr>
        <w:t xml:space="preserve">Financial data to be provided by the tenderer in relation to the selection criteria must be expressed in </w:t>
      </w:r>
      <w:r w:rsidR="00892C69" w:rsidRPr="00662DD3">
        <w:rPr>
          <w:sz w:val="22"/>
          <w:lang w:val="en-US"/>
        </w:rPr>
        <w:t>BGN</w:t>
      </w:r>
      <w:r w:rsidRPr="00662DD3">
        <w:rPr>
          <w:sz w:val="22"/>
          <w:lang w:val="en-US"/>
        </w:rPr>
        <w:t xml:space="preserve">. If applicable, where a candidate refers to amounts originally expressed in a different currency, the conversion to </w:t>
      </w:r>
      <w:r w:rsidR="00892C69" w:rsidRPr="00662DD3">
        <w:rPr>
          <w:sz w:val="22"/>
          <w:lang w:val="en-US"/>
        </w:rPr>
        <w:t xml:space="preserve">BGN </w:t>
      </w:r>
      <w:r w:rsidRPr="00662DD3">
        <w:rPr>
          <w:sz w:val="22"/>
          <w:lang w:val="en-US"/>
        </w:rPr>
        <w:t xml:space="preserve">shall be made in accordance with the </w:t>
      </w:r>
      <w:proofErr w:type="spellStart"/>
      <w:r w:rsidRPr="00662DD3">
        <w:rPr>
          <w:sz w:val="22"/>
          <w:lang w:val="en-US"/>
        </w:rPr>
        <w:t>InforEuro</w:t>
      </w:r>
      <w:proofErr w:type="spellEnd"/>
      <w:r w:rsidRPr="00662DD3">
        <w:rPr>
          <w:sz w:val="22"/>
          <w:lang w:val="en-US"/>
        </w:rPr>
        <w:t xml:space="preserve"> exchange rate of</w:t>
      </w:r>
      <w:r w:rsidR="006D4D0C" w:rsidRPr="00662DD3">
        <w:rPr>
          <w:sz w:val="22"/>
          <w:lang w:val="en-US"/>
        </w:rPr>
        <w:t xml:space="preserve"> </w:t>
      </w:r>
      <w:r w:rsidR="00A21D38">
        <w:rPr>
          <w:b/>
          <w:sz w:val="22"/>
          <w:lang w:val="en-US"/>
        </w:rPr>
        <w:t>JANUARY</w:t>
      </w:r>
      <w:r w:rsidR="002777DC" w:rsidRPr="00662DD3">
        <w:rPr>
          <w:sz w:val="22"/>
          <w:lang w:val="en-US"/>
        </w:rPr>
        <w:t xml:space="preserve"> </w:t>
      </w:r>
      <w:r w:rsidR="00892C69" w:rsidRPr="00662DD3">
        <w:rPr>
          <w:b/>
          <w:sz w:val="22"/>
          <w:lang w:val="en-US"/>
        </w:rPr>
        <w:t>202</w:t>
      </w:r>
      <w:r w:rsidR="00461ED0" w:rsidRPr="00662DD3">
        <w:rPr>
          <w:b/>
          <w:sz w:val="22"/>
          <w:lang w:val="en-US"/>
        </w:rPr>
        <w:t>1</w:t>
      </w:r>
      <w:r w:rsidR="00892C69" w:rsidRPr="00662DD3">
        <w:rPr>
          <w:b/>
          <w:sz w:val="22"/>
          <w:lang w:val="en-US"/>
        </w:rPr>
        <w:t xml:space="preserve">, </w:t>
      </w:r>
      <w:r w:rsidRPr="00662DD3">
        <w:rPr>
          <w:sz w:val="22"/>
          <w:lang w:val="en-US"/>
        </w:rPr>
        <w:t xml:space="preserve">which can be found at the following address: </w:t>
      </w:r>
      <w:hyperlink r:id="rId8" w:history="1">
        <w:r w:rsidRPr="00662DD3">
          <w:rPr>
            <w:rStyle w:val="a4"/>
            <w:sz w:val="22"/>
            <w:lang w:val="en-US"/>
          </w:rPr>
          <w:t>http://ec.europa.eu/budget/graphs/inforeuro.html</w:t>
        </w:r>
      </w:hyperlink>
      <w:r w:rsidRPr="00662DD3">
        <w:rPr>
          <w:sz w:val="22"/>
          <w:lang w:val="en-US"/>
        </w:rPr>
        <w:t>.</w:t>
      </w:r>
    </w:p>
    <w:p w14:paraId="50DAD4AB" w14:textId="77777777" w:rsidR="002139C6" w:rsidRPr="00662DD3" w:rsidRDefault="002139C6" w:rsidP="003900DF">
      <w:pPr>
        <w:pStyle w:val="PRAGHeading2"/>
        <w:jc w:val="both"/>
        <w:rPr>
          <w:rStyle w:val="a6"/>
          <w:sz w:val="22"/>
          <w:szCs w:val="22"/>
          <w:lang w:val="en-US"/>
        </w:rPr>
      </w:pPr>
      <w:r w:rsidRPr="00662DD3">
        <w:rPr>
          <w:rStyle w:val="a6"/>
          <w:sz w:val="22"/>
          <w:szCs w:val="22"/>
          <w:lang w:val="en-US"/>
        </w:rPr>
        <w:t>Award criteria</w:t>
      </w:r>
    </w:p>
    <w:p w14:paraId="761D7B8F" w14:textId="77777777" w:rsidR="00492F3A" w:rsidRPr="00662DD3" w:rsidRDefault="00492F3A" w:rsidP="003900DF">
      <w:pPr>
        <w:ind w:left="426"/>
        <w:jc w:val="both"/>
        <w:rPr>
          <w:sz w:val="22"/>
          <w:lang w:val="en-US"/>
        </w:rPr>
      </w:pPr>
      <w:r w:rsidRPr="00662DD3">
        <w:rPr>
          <w:sz w:val="22"/>
          <w:lang w:val="en-US"/>
        </w:rPr>
        <w:lastRenderedPageBreak/>
        <w:t>The sole award criterion will be the price</w:t>
      </w:r>
      <w:r w:rsidR="00484326" w:rsidRPr="00662DD3">
        <w:rPr>
          <w:sz w:val="22"/>
          <w:lang w:val="en-US"/>
        </w:rPr>
        <w:t>: the most economically advantageous tender is the technically compliant tender with the lowest price</w:t>
      </w:r>
      <w:r w:rsidRPr="00662DD3">
        <w:rPr>
          <w:sz w:val="22"/>
          <w:lang w:val="en-US"/>
        </w:rPr>
        <w:t xml:space="preserve">. </w:t>
      </w:r>
    </w:p>
    <w:p w14:paraId="641A1C2D" w14:textId="6DA9609B" w:rsidR="002139C6" w:rsidRPr="00662DD3" w:rsidRDefault="00764986" w:rsidP="003900DF">
      <w:pPr>
        <w:jc w:val="both"/>
        <w:rPr>
          <w:sz w:val="22"/>
          <w:szCs w:val="22"/>
          <w:lang w:val="en-US"/>
        </w:rPr>
      </w:pPr>
      <w:r w:rsidRPr="00662DD3">
        <w:rPr>
          <w:noProof/>
          <w:snapToGrid/>
          <w:sz w:val="22"/>
          <w:szCs w:val="22"/>
          <w:lang w:val="bg-BG" w:eastAsia="bg-BG"/>
        </w:rPr>
        <mc:AlternateContent>
          <mc:Choice Requires="wps">
            <w:drawing>
              <wp:anchor distT="0" distB="0" distL="114300" distR="114300" simplePos="0" relativeHeight="251656704" behindDoc="0" locked="0" layoutInCell="0" allowOverlap="1" wp14:anchorId="4428BB32" wp14:editId="379F19B1">
                <wp:simplePos x="0" y="0"/>
                <wp:positionH relativeFrom="column">
                  <wp:posOffset>0</wp:posOffset>
                </wp:positionH>
                <wp:positionV relativeFrom="paragraph">
                  <wp:posOffset>152400</wp:posOffset>
                </wp:positionV>
                <wp:extent cx="594360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w14:anchorId="2A902A92"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CDHVQIAALI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" o:allowincell="f" strokecolor="#d4d4d4" strokeweight="1.75pt">
                <v:shadow on="t" offset="0,-1pt"/>
              </v:line>
            </w:pict>
          </mc:Fallback>
        </mc:AlternateContent>
      </w:r>
    </w:p>
    <w:p w14:paraId="58B7D4AB" w14:textId="77777777" w:rsidR="002139C6" w:rsidRPr="00662DD3" w:rsidRDefault="002139C6" w:rsidP="003900DF">
      <w:pPr>
        <w:ind w:left="360"/>
        <w:jc w:val="both"/>
        <w:rPr>
          <w:rStyle w:val="a6"/>
          <w:sz w:val="22"/>
          <w:szCs w:val="22"/>
          <w:lang w:val="en-US"/>
        </w:rPr>
      </w:pPr>
      <w:r w:rsidRPr="00662DD3">
        <w:rPr>
          <w:rStyle w:val="a6"/>
          <w:sz w:val="22"/>
          <w:szCs w:val="22"/>
          <w:lang w:val="en-US"/>
        </w:rPr>
        <w:t>TENDERING</w:t>
      </w:r>
    </w:p>
    <w:p w14:paraId="1F669AA9" w14:textId="77777777" w:rsidR="007E0D76" w:rsidRPr="00662DD3" w:rsidRDefault="007E0D76" w:rsidP="003900DF">
      <w:pPr>
        <w:pStyle w:val="PRAGHeading2"/>
        <w:jc w:val="both"/>
        <w:rPr>
          <w:rStyle w:val="a6"/>
          <w:sz w:val="22"/>
          <w:szCs w:val="22"/>
          <w:lang w:val="en-US"/>
        </w:rPr>
      </w:pPr>
      <w:r w:rsidRPr="00662DD3">
        <w:rPr>
          <w:rStyle w:val="a6"/>
          <w:sz w:val="22"/>
          <w:szCs w:val="22"/>
          <w:lang w:val="en-US"/>
        </w:rPr>
        <w:t xml:space="preserve">Ethics clauses </w:t>
      </w:r>
    </w:p>
    <w:p w14:paraId="3E480682" w14:textId="77777777" w:rsidR="007E0D76" w:rsidRPr="00662DD3" w:rsidRDefault="007E0D76" w:rsidP="003900DF">
      <w:pPr>
        <w:pStyle w:val="PRAGHeading2"/>
        <w:numPr>
          <w:ilvl w:val="0"/>
          <w:numId w:val="0"/>
        </w:numPr>
        <w:ind w:left="720"/>
        <w:jc w:val="both"/>
        <w:rPr>
          <w:rStyle w:val="a6"/>
          <w:b w:val="0"/>
          <w:sz w:val="22"/>
          <w:szCs w:val="22"/>
          <w:lang w:val="en-US"/>
        </w:rPr>
      </w:pPr>
      <w:r w:rsidRPr="00662DD3">
        <w:rPr>
          <w:rStyle w:val="a6"/>
          <w:b w:val="0"/>
          <w:sz w:val="22"/>
          <w:szCs w:val="22"/>
          <w:lang w:val="en-US"/>
        </w:rPr>
        <w:t xml:space="preserve">The tenderers are subject to the </w:t>
      </w:r>
      <w:r w:rsidR="00C43C3C" w:rsidRPr="00662DD3">
        <w:rPr>
          <w:rStyle w:val="a6"/>
          <w:b w:val="0"/>
          <w:sz w:val="22"/>
          <w:szCs w:val="22"/>
          <w:lang w:val="en-US"/>
        </w:rPr>
        <w:t>e</w:t>
      </w:r>
      <w:r w:rsidRPr="00662DD3">
        <w:rPr>
          <w:rStyle w:val="a6"/>
          <w:b w:val="0"/>
          <w:sz w:val="22"/>
          <w:szCs w:val="22"/>
          <w:lang w:val="en-US"/>
        </w:rPr>
        <w:t xml:space="preserve">thics clauses, detailed in Section </w:t>
      </w:r>
      <w:r w:rsidR="00C43C3C" w:rsidRPr="00662DD3">
        <w:rPr>
          <w:rStyle w:val="a6"/>
          <w:b w:val="0"/>
          <w:sz w:val="22"/>
          <w:szCs w:val="22"/>
          <w:lang w:val="en-US"/>
        </w:rPr>
        <w:t>2.5.6.</w:t>
      </w:r>
      <w:r w:rsidRPr="00662DD3">
        <w:rPr>
          <w:rStyle w:val="a6"/>
          <w:b w:val="0"/>
          <w:sz w:val="22"/>
          <w:szCs w:val="22"/>
          <w:lang w:val="en-US"/>
        </w:rPr>
        <w:t xml:space="preserve"> of the </w:t>
      </w:r>
      <w:r w:rsidR="00C43C3C" w:rsidRPr="00662DD3">
        <w:rPr>
          <w:rStyle w:val="a6"/>
          <w:b w:val="0"/>
          <w:sz w:val="22"/>
          <w:szCs w:val="22"/>
          <w:lang w:val="en-US"/>
        </w:rPr>
        <w:t>p</w:t>
      </w:r>
      <w:r w:rsidRPr="00662DD3">
        <w:rPr>
          <w:rStyle w:val="a6"/>
          <w:b w:val="0"/>
          <w:sz w:val="22"/>
          <w:szCs w:val="22"/>
          <w:lang w:val="en-US"/>
        </w:rPr>
        <w:t xml:space="preserve">ractical </w:t>
      </w:r>
      <w:r w:rsidR="00C43C3C" w:rsidRPr="00662DD3">
        <w:rPr>
          <w:rStyle w:val="a6"/>
          <w:b w:val="0"/>
          <w:sz w:val="22"/>
          <w:szCs w:val="22"/>
          <w:lang w:val="en-US"/>
        </w:rPr>
        <w:t>g</w:t>
      </w:r>
      <w:r w:rsidRPr="00662DD3">
        <w:rPr>
          <w:rStyle w:val="a6"/>
          <w:b w:val="0"/>
          <w:sz w:val="22"/>
          <w:szCs w:val="22"/>
          <w:lang w:val="en-US"/>
        </w:rPr>
        <w:t xml:space="preserve">uide. </w:t>
      </w:r>
    </w:p>
    <w:p w14:paraId="6C2E7D25" w14:textId="77777777" w:rsidR="002139C6" w:rsidRPr="00662DD3" w:rsidRDefault="002139C6" w:rsidP="003900DF">
      <w:pPr>
        <w:pStyle w:val="PRAGHeading2"/>
        <w:jc w:val="both"/>
        <w:rPr>
          <w:rStyle w:val="a6"/>
          <w:sz w:val="22"/>
          <w:szCs w:val="22"/>
          <w:lang w:val="en-US"/>
        </w:rPr>
      </w:pPr>
      <w:r w:rsidRPr="00662DD3">
        <w:rPr>
          <w:rStyle w:val="a6"/>
          <w:sz w:val="22"/>
          <w:szCs w:val="22"/>
          <w:lang w:val="en-US"/>
        </w:rPr>
        <w:t>Legal basis</w:t>
      </w:r>
      <w:r w:rsidR="00A95184" w:rsidRPr="00662DD3">
        <w:rPr>
          <w:rStyle w:val="af1"/>
          <w:b/>
          <w:sz w:val="22"/>
          <w:szCs w:val="22"/>
          <w:lang w:val="en-US"/>
        </w:rPr>
        <w:footnoteReference w:id="1"/>
      </w:r>
    </w:p>
    <w:p w14:paraId="4E83DF10" w14:textId="1336E8AC" w:rsidR="00892C69" w:rsidRPr="00662DD3" w:rsidRDefault="00892C69" w:rsidP="00047FCB">
      <w:pPr>
        <w:pStyle w:val="PRAGHeading2"/>
        <w:numPr>
          <w:ilvl w:val="0"/>
          <w:numId w:val="3"/>
        </w:numPr>
        <w:tabs>
          <w:tab w:val="left" w:pos="360"/>
        </w:tabs>
        <w:ind w:left="0" w:firstLine="720"/>
        <w:jc w:val="both"/>
        <w:rPr>
          <w:sz w:val="22"/>
          <w:lang w:val="en-US" w:eastAsia="ja-JP"/>
        </w:rPr>
      </w:pPr>
      <w:r w:rsidRPr="00662DD3">
        <w:rPr>
          <w:sz w:val="22"/>
          <w:lang w:val="en-US"/>
        </w:rPr>
        <w:t>Regulation</w:t>
      </w:r>
      <w:r w:rsidRPr="00662DD3">
        <w:rPr>
          <w:b/>
          <w:bCs/>
          <w:sz w:val="22"/>
          <w:lang w:val="en-US"/>
        </w:rPr>
        <w:t xml:space="preserve"> </w:t>
      </w:r>
      <w:r w:rsidRPr="00662DD3">
        <w:rPr>
          <w:sz w:val="22"/>
          <w:lang w:val="en-US"/>
        </w:rPr>
        <w:t>(EU) No </w:t>
      </w:r>
      <w:r w:rsidRPr="00662DD3">
        <w:rPr>
          <w:sz w:val="22"/>
          <w:lang w:val="en-US" w:eastAsia="ja-JP"/>
        </w:rPr>
        <w:t>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w:t>
      </w:r>
      <w:r w:rsidR="00DD0D7B" w:rsidRPr="00662DD3">
        <w:rPr>
          <w:sz w:val="22"/>
          <w:lang w:val="en-US" w:eastAsia="ja-JP"/>
        </w:rPr>
        <w:t xml:space="preserve"> </w:t>
      </w:r>
    </w:p>
    <w:p w14:paraId="341154EF" w14:textId="77777777" w:rsidR="00892C69" w:rsidRPr="00662DD3" w:rsidRDefault="00892C69" w:rsidP="00047FCB">
      <w:pPr>
        <w:pStyle w:val="PRAGHeading2"/>
        <w:numPr>
          <w:ilvl w:val="0"/>
          <w:numId w:val="3"/>
        </w:numPr>
        <w:tabs>
          <w:tab w:val="left" w:pos="360"/>
        </w:tabs>
        <w:ind w:left="0" w:firstLine="720"/>
        <w:jc w:val="both"/>
        <w:rPr>
          <w:sz w:val="22"/>
          <w:lang w:val="en-US"/>
        </w:rPr>
      </w:pPr>
      <w:r w:rsidRPr="00662DD3">
        <w:rPr>
          <w:sz w:val="22"/>
          <w:lang w:val="en-US"/>
        </w:rPr>
        <w:t>Commission Implementing Regulation (EU) No 447/2014 of 2 May 2014 on the specific rules for implementing Regulation (EU) No 231/2014 of the European Parliament and of the Council establishing an Instrument for Pre-</w:t>
      </w:r>
      <w:proofErr w:type="gramStart"/>
      <w:r w:rsidRPr="00662DD3">
        <w:rPr>
          <w:sz w:val="22"/>
          <w:lang w:val="en-US"/>
        </w:rPr>
        <w:t>accession</w:t>
      </w:r>
      <w:proofErr w:type="gramEnd"/>
      <w:r w:rsidRPr="00662DD3">
        <w:rPr>
          <w:sz w:val="22"/>
          <w:lang w:val="en-US"/>
        </w:rPr>
        <w:t xml:space="preserve"> Assistance (IPA II) - IPA II Implementing Regulation;</w:t>
      </w:r>
    </w:p>
    <w:p w14:paraId="17F432C9" w14:textId="77777777" w:rsidR="00892C69" w:rsidRPr="00662DD3" w:rsidRDefault="00892C69" w:rsidP="00047FCB">
      <w:pPr>
        <w:pStyle w:val="PRAGHeading2"/>
        <w:numPr>
          <w:ilvl w:val="0"/>
          <w:numId w:val="3"/>
        </w:numPr>
        <w:tabs>
          <w:tab w:val="left" w:pos="360"/>
        </w:tabs>
        <w:ind w:left="0" w:firstLine="720"/>
        <w:jc w:val="both"/>
        <w:rPr>
          <w:sz w:val="22"/>
          <w:lang w:val="en-US"/>
        </w:rPr>
      </w:pPr>
      <w:r w:rsidRPr="00662DD3">
        <w:rPr>
          <w:sz w:val="22"/>
          <w:lang w:val="en-US"/>
        </w:rPr>
        <w:t>Regulation (EU) No 1299/2013 of the European Parliament and of the Council of 17 December 2013 on specific provisions for the support from the European Regional Development Fund to the European territorial cooperation goal;</w:t>
      </w:r>
    </w:p>
    <w:p w14:paraId="0E4D1A52" w14:textId="77777777" w:rsidR="00892C69" w:rsidRPr="00662DD3" w:rsidRDefault="00892C69" w:rsidP="00047FCB">
      <w:pPr>
        <w:pStyle w:val="PRAGHeading2"/>
        <w:numPr>
          <w:ilvl w:val="0"/>
          <w:numId w:val="3"/>
        </w:numPr>
        <w:tabs>
          <w:tab w:val="left" w:pos="360"/>
        </w:tabs>
        <w:ind w:left="0" w:firstLine="720"/>
        <w:jc w:val="both"/>
        <w:rPr>
          <w:sz w:val="22"/>
          <w:lang w:val="en-US"/>
        </w:rPr>
      </w:pPr>
      <w:r w:rsidRPr="00662DD3">
        <w:rPr>
          <w:sz w:val="22"/>
          <w:lang w:val="en-US"/>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662DD3">
        <w:rPr>
          <w:sz w:val="22"/>
          <w:lang w:val="en-US"/>
        </w:rPr>
        <w:t>programmes</w:t>
      </w:r>
      <w:proofErr w:type="spellEnd"/>
      <w:r w:rsidRPr="00662DD3">
        <w:rPr>
          <w:sz w:val="22"/>
          <w:lang w:val="en-US"/>
        </w:rPr>
        <w:t>;</w:t>
      </w:r>
    </w:p>
    <w:p w14:paraId="3EF77256" w14:textId="77777777" w:rsidR="00892C69" w:rsidRPr="00662DD3" w:rsidRDefault="00892C69" w:rsidP="00047FCB">
      <w:pPr>
        <w:pStyle w:val="PRAGHeading2"/>
        <w:numPr>
          <w:ilvl w:val="0"/>
          <w:numId w:val="3"/>
        </w:numPr>
        <w:tabs>
          <w:tab w:val="left" w:pos="360"/>
        </w:tabs>
        <w:ind w:left="0" w:firstLine="720"/>
        <w:jc w:val="both"/>
        <w:rPr>
          <w:sz w:val="22"/>
          <w:lang w:val="en-US" w:eastAsia="ja-JP"/>
        </w:rPr>
      </w:pPr>
      <w:r w:rsidRPr="00662DD3">
        <w:rPr>
          <w:sz w:val="22"/>
          <w:lang w:val="en-US" w:eastAsia="ja-JP"/>
        </w:rPr>
        <w:t xml:space="preserve">Regulation (EU, </w:t>
      </w:r>
      <w:proofErr w:type="spellStart"/>
      <w:r w:rsidRPr="00662DD3">
        <w:rPr>
          <w:sz w:val="22"/>
          <w:lang w:val="en-US" w:eastAsia="ja-JP"/>
        </w:rPr>
        <w:t>Euratom</w:t>
      </w:r>
      <w:proofErr w:type="spellEnd"/>
      <w:r w:rsidRPr="00662DD3">
        <w:rPr>
          <w:sz w:val="22"/>
          <w:lang w:val="en-US" w:eastAsia="ja-JP"/>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662DD3">
        <w:rPr>
          <w:sz w:val="22"/>
          <w:lang w:val="en-US" w:eastAsia="ja-JP"/>
        </w:rPr>
        <w:t>Euratom</w:t>
      </w:r>
      <w:proofErr w:type="spellEnd"/>
      <w:r w:rsidRPr="00662DD3">
        <w:rPr>
          <w:sz w:val="22"/>
          <w:lang w:val="en-US" w:eastAsia="ja-JP"/>
        </w:rPr>
        <w:t>) No 966/2012</w:t>
      </w:r>
    </w:p>
    <w:p w14:paraId="35EA3013" w14:textId="77777777" w:rsidR="00892C69" w:rsidRPr="00662DD3" w:rsidRDefault="00892C69" w:rsidP="00047FCB">
      <w:pPr>
        <w:pStyle w:val="PRAGHeading2"/>
        <w:numPr>
          <w:ilvl w:val="0"/>
          <w:numId w:val="3"/>
        </w:numPr>
        <w:tabs>
          <w:tab w:val="left" w:pos="360"/>
        </w:tabs>
        <w:ind w:left="0" w:firstLine="720"/>
        <w:jc w:val="both"/>
        <w:rPr>
          <w:sz w:val="22"/>
          <w:lang w:val="en-US"/>
        </w:rPr>
      </w:pPr>
      <w:r w:rsidRPr="00662DD3">
        <w:rPr>
          <w:sz w:val="22"/>
          <w:lang w:val="en-U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744312C7" w14:textId="77777777" w:rsidR="00892C69" w:rsidRPr="00662DD3" w:rsidRDefault="00181064" w:rsidP="00047FCB">
      <w:pPr>
        <w:pStyle w:val="PRAGHeading2"/>
        <w:numPr>
          <w:ilvl w:val="0"/>
          <w:numId w:val="3"/>
        </w:numPr>
        <w:tabs>
          <w:tab w:val="left" w:pos="360"/>
        </w:tabs>
        <w:ind w:left="0" w:firstLine="720"/>
        <w:jc w:val="both"/>
        <w:rPr>
          <w:sz w:val="22"/>
          <w:lang w:val="en-US"/>
        </w:rPr>
      </w:pPr>
      <w:r w:rsidRPr="00662DD3">
        <w:rPr>
          <w:sz w:val="22"/>
          <w:lang w:val="en-US"/>
        </w:rPr>
        <w:t xml:space="preserve">Regulation (EU, </w:t>
      </w:r>
      <w:proofErr w:type="spellStart"/>
      <w:r w:rsidRPr="00662DD3">
        <w:rPr>
          <w:sz w:val="22"/>
          <w:lang w:val="en-US"/>
        </w:rPr>
        <w:t>Euratom</w:t>
      </w:r>
      <w:proofErr w:type="spellEnd"/>
      <w:r w:rsidRPr="00662DD3">
        <w:rPr>
          <w:sz w:val="22"/>
          <w:lang w:val="en-US"/>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662DD3">
        <w:rPr>
          <w:sz w:val="22"/>
          <w:lang w:val="en-US"/>
        </w:rPr>
        <w:t>Euratom</w:t>
      </w:r>
      <w:proofErr w:type="spellEnd"/>
      <w:r w:rsidRPr="00662DD3">
        <w:rPr>
          <w:sz w:val="22"/>
          <w:lang w:val="en-US"/>
        </w:rPr>
        <w:t>) No 966/2012</w:t>
      </w:r>
      <w:r w:rsidR="00892C69" w:rsidRPr="00662DD3">
        <w:rPr>
          <w:sz w:val="22"/>
          <w:lang w:val="en-US"/>
        </w:rPr>
        <w:t>;</w:t>
      </w:r>
    </w:p>
    <w:p w14:paraId="4C34603E" w14:textId="00BFCC98" w:rsidR="00892C69" w:rsidRPr="00662DD3" w:rsidRDefault="00C55F09" w:rsidP="00047FCB">
      <w:pPr>
        <w:pStyle w:val="PRAGHeading2"/>
        <w:numPr>
          <w:ilvl w:val="0"/>
          <w:numId w:val="3"/>
        </w:numPr>
        <w:tabs>
          <w:tab w:val="left" w:pos="360"/>
        </w:tabs>
        <w:ind w:left="0" w:firstLine="720"/>
        <w:jc w:val="both"/>
        <w:rPr>
          <w:lang w:val="en-US"/>
        </w:rPr>
      </w:pPr>
      <w:proofErr w:type="spellStart"/>
      <w:r w:rsidRPr="00662DD3">
        <w:rPr>
          <w:bCs/>
          <w:iCs/>
          <w:sz w:val="22"/>
          <w:lang w:val="en-US"/>
        </w:rPr>
        <w:lastRenderedPageBreak/>
        <w:t>Interreg</w:t>
      </w:r>
      <w:proofErr w:type="spellEnd"/>
      <w:r w:rsidRPr="00662DD3">
        <w:rPr>
          <w:bCs/>
          <w:iCs/>
          <w:sz w:val="22"/>
          <w:lang w:val="en-US"/>
        </w:rPr>
        <w:t xml:space="preserve">-IPA CBC </w:t>
      </w:r>
      <w:proofErr w:type="spellStart"/>
      <w:r w:rsidRPr="00662DD3">
        <w:rPr>
          <w:bCs/>
          <w:iCs/>
          <w:sz w:val="22"/>
          <w:lang w:val="en-US"/>
        </w:rPr>
        <w:t>Programme</w:t>
      </w:r>
      <w:proofErr w:type="spellEnd"/>
      <w:r w:rsidRPr="00662DD3">
        <w:rPr>
          <w:bCs/>
          <w:iCs/>
          <w:sz w:val="22"/>
          <w:lang w:val="en-US"/>
        </w:rPr>
        <w:t xml:space="preserve"> Bulgaria-</w:t>
      </w:r>
      <w:r w:rsidR="00764986" w:rsidRPr="00662DD3">
        <w:rPr>
          <w:bCs/>
          <w:iCs/>
          <w:sz w:val="22"/>
          <w:lang w:val="en-US"/>
        </w:rPr>
        <w:t>Serbia</w:t>
      </w:r>
      <w:r w:rsidRPr="00662DD3">
        <w:rPr>
          <w:bCs/>
          <w:iCs/>
          <w:sz w:val="22"/>
          <w:lang w:val="en-US"/>
        </w:rPr>
        <w:t xml:space="preserve"> </w:t>
      </w:r>
      <w:proofErr w:type="spellStart"/>
      <w:r w:rsidRPr="00662DD3">
        <w:rPr>
          <w:bCs/>
          <w:iCs/>
          <w:sz w:val="22"/>
          <w:lang w:val="en-US"/>
        </w:rPr>
        <w:t>Programme</w:t>
      </w:r>
      <w:proofErr w:type="spellEnd"/>
      <w:r w:rsidRPr="00662DD3">
        <w:rPr>
          <w:bCs/>
          <w:iCs/>
          <w:sz w:val="22"/>
          <w:lang w:val="en-US"/>
        </w:rPr>
        <w:t xml:space="preserve"> 2014-2020</w:t>
      </w:r>
      <w:r w:rsidRPr="00662DD3">
        <w:rPr>
          <w:bCs/>
          <w:sz w:val="22"/>
          <w:lang w:val="en-US"/>
        </w:rPr>
        <w:t xml:space="preserve">, CCI </w:t>
      </w:r>
      <w:r w:rsidR="00764986" w:rsidRPr="00662DD3">
        <w:rPr>
          <w:bCs/>
          <w:sz w:val="22"/>
          <w:lang w:val="en-US"/>
        </w:rPr>
        <w:t xml:space="preserve">2014TC16I5CB007, adopted by the European Commission with Decision No </w:t>
      </w:r>
      <w:proofErr w:type="gramStart"/>
      <w:r w:rsidR="00764986" w:rsidRPr="00662DD3">
        <w:rPr>
          <w:bCs/>
          <w:sz w:val="22"/>
          <w:lang w:val="en-US"/>
        </w:rPr>
        <w:t>C(</w:t>
      </w:r>
      <w:proofErr w:type="gramEnd"/>
      <w:r w:rsidR="00764986" w:rsidRPr="00662DD3">
        <w:rPr>
          <w:bCs/>
          <w:sz w:val="22"/>
          <w:lang w:val="en-US"/>
        </w:rPr>
        <w:t>2015) 5444 on 30 July 2015</w:t>
      </w:r>
      <w:r w:rsidR="00892C69" w:rsidRPr="00662DD3">
        <w:rPr>
          <w:lang w:val="en-US"/>
        </w:rPr>
        <w:t>.</w:t>
      </w:r>
    </w:p>
    <w:p w14:paraId="105CFF6C" w14:textId="77777777" w:rsidR="003C3139" w:rsidRPr="00662DD3" w:rsidRDefault="003C3139" w:rsidP="003900DF">
      <w:pPr>
        <w:pStyle w:val="PRAGHeading2"/>
        <w:jc w:val="both"/>
        <w:rPr>
          <w:rStyle w:val="a6"/>
          <w:sz w:val="22"/>
          <w:szCs w:val="22"/>
          <w:lang w:val="en-US"/>
        </w:rPr>
      </w:pPr>
      <w:r w:rsidRPr="00662DD3">
        <w:rPr>
          <w:rStyle w:val="a6"/>
          <w:sz w:val="22"/>
          <w:szCs w:val="22"/>
          <w:lang w:val="en-US"/>
        </w:rPr>
        <w:t>Appeals</w:t>
      </w:r>
    </w:p>
    <w:p w14:paraId="5ABF7DFE" w14:textId="77777777" w:rsidR="003C3139" w:rsidRPr="00662DD3" w:rsidRDefault="003C3139" w:rsidP="00050B9E">
      <w:pPr>
        <w:ind w:firstLine="720"/>
        <w:jc w:val="both"/>
        <w:rPr>
          <w:sz w:val="22"/>
          <w:szCs w:val="22"/>
          <w:lang w:val="en-US"/>
        </w:rPr>
      </w:pPr>
      <w:r w:rsidRPr="00662DD3">
        <w:rPr>
          <w:snapToGrid/>
          <w:sz w:val="22"/>
          <w:szCs w:val="22"/>
          <w:lang w:val="en-US" w:eastAsia="en-GB"/>
        </w:rPr>
        <w:t xml:space="preserve">Tenderers believing that they have been harmed by an error or irregularity during the award process may file a complaint. See further </w:t>
      </w:r>
      <w:r w:rsidR="00921394" w:rsidRPr="00662DD3">
        <w:rPr>
          <w:snapToGrid/>
          <w:sz w:val="22"/>
          <w:szCs w:val="22"/>
          <w:lang w:val="en-US" w:eastAsia="en-GB"/>
        </w:rPr>
        <w:t>S</w:t>
      </w:r>
      <w:r w:rsidRPr="00662DD3">
        <w:rPr>
          <w:snapToGrid/>
          <w:sz w:val="22"/>
          <w:szCs w:val="22"/>
          <w:lang w:val="en-US" w:eastAsia="en-GB"/>
        </w:rPr>
        <w:t xml:space="preserve">ection </w:t>
      </w:r>
      <w:r w:rsidR="00C43C3C" w:rsidRPr="00662DD3">
        <w:rPr>
          <w:snapToGrid/>
          <w:sz w:val="22"/>
          <w:szCs w:val="22"/>
          <w:lang w:val="en-US" w:eastAsia="en-GB"/>
        </w:rPr>
        <w:t>2.12.</w:t>
      </w:r>
      <w:r w:rsidRPr="00662DD3">
        <w:rPr>
          <w:snapToGrid/>
          <w:sz w:val="22"/>
          <w:szCs w:val="22"/>
          <w:lang w:val="en-US" w:eastAsia="en-GB"/>
        </w:rPr>
        <w:t xml:space="preserve"> of the </w:t>
      </w:r>
      <w:r w:rsidR="00C43C3C" w:rsidRPr="00662DD3">
        <w:rPr>
          <w:snapToGrid/>
          <w:sz w:val="22"/>
          <w:szCs w:val="22"/>
          <w:lang w:val="en-US" w:eastAsia="en-GB"/>
        </w:rPr>
        <w:t>p</w:t>
      </w:r>
      <w:r w:rsidRPr="00662DD3">
        <w:rPr>
          <w:snapToGrid/>
          <w:sz w:val="22"/>
          <w:szCs w:val="22"/>
          <w:lang w:val="en-US" w:eastAsia="en-GB"/>
        </w:rPr>
        <w:t xml:space="preserve">ractical </w:t>
      </w:r>
      <w:r w:rsidR="00C43C3C" w:rsidRPr="00662DD3">
        <w:rPr>
          <w:snapToGrid/>
          <w:sz w:val="22"/>
          <w:szCs w:val="22"/>
          <w:lang w:val="en-US" w:eastAsia="en-GB"/>
        </w:rPr>
        <w:t>g</w:t>
      </w:r>
      <w:r w:rsidRPr="00662DD3">
        <w:rPr>
          <w:snapToGrid/>
          <w:sz w:val="22"/>
          <w:szCs w:val="22"/>
          <w:lang w:val="en-US" w:eastAsia="en-GB"/>
        </w:rPr>
        <w:t>uide.</w:t>
      </w:r>
    </w:p>
    <w:p w14:paraId="7F51561B" w14:textId="77777777" w:rsidR="00B272AC" w:rsidRPr="00662DD3" w:rsidRDefault="003C3139" w:rsidP="003900DF">
      <w:pPr>
        <w:pStyle w:val="PRAGHeading2"/>
        <w:jc w:val="both"/>
        <w:rPr>
          <w:b/>
          <w:sz w:val="22"/>
          <w:szCs w:val="22"/>
          <w:lang w:val="en-US"/>
        </w:rPr>
      </w:pPr>
      <w:r w:rsidRPr="00662DD3">
        <w:rPr>
          <w:b/>
          <w:sz w:val="22"/>
          <w:szCs w:val="22"/>
          <w:lang w:val="en-US"/>
        </w:rPr>
        <w:t xml:space="preserve">Early </w:t>
      </w:r>
      <w:r w:rsidR="00C43C3C" w:rsidRPr="00662DD3">
        <w:rPr>
          <w:b/>
          <w:sz w:val="22"/>
          <w:szCs w:val="22"/>
          <w:lang w:val="en-US"/>
        </w:rPr>
        <w:t>d</w:t>
      </w:r>
      <w:r w:rsidR="00B272AC" w:rsidRPr="00662DD3">
        <w:rPr>
          <w:b/>
          <w:sz w:val="22"/>
          <w:szCs w:val="22"/>
          <w:lang w:val="en-US"/>
        </w:rPr>
        <w:t>etection a</w:t>
      </w:r>
      <w:r w:rsidRPr="00662DD3">
        <w:rPr>
          <w:b/>
          <w:sz w:val="22"/>
          <w:szCs w:val="22"/>
          <w:lang w:val="en-US"/>
        </w:rPr>
        <w:t xml:space="preserve">nd </w:t>
      </w:r>
      <w:r w:rsidR="00C43C3C" w:rsidRPr="00662DD3">
        <w:rPr>
          <w:b/>
          <w:sz w:val="22"/>
          <w:szCs w:val="22"/>
          <w:lang w:val="en-US"/>
        </w:rPr>
        <w:t>e</w:t>
      </w:r>
      <w:r w:rsidRPr="00662DD3">
        <w:rPr>
          <w:b/>
          <w:sz w:val="22"/>
          <w:szCs w:val="22"/>
          <w:lang w:val="en-US"/>
        </w:rPr>
        <w:t xml:space="preserve">xclusion </w:t>
      </w:r>
      <w:r w:rsidR="00C43C3C" w:rsidRPr="00662DD3">
        <w:rPr>
          <w:b/>
          <w:sz w:val="22"/>
          <w:szCs w:val="22"/>
          <w:lang w:val="en-US"/>
        </w:rPr>
        <w:t>s</w:t>
      </w:r>
      <w:r w:rsidR="00B272AC" w:rsidRPr="00662DD3">
        <w:rPr>
          <w:b/>
          <w:sz w:val="22"/>
          <w:szCs w:val="22"/>
          <w:lang w:val="en-US"/>
        </w:rPr>
        <w:t>ystem</w:t>
      </w:r>
    </w:p>
    <w:p w14:paraId="6E614C08" w14:textId="64385B0A" w:rsidR="00B272AC" w:rsidRPr="00BC76CC" w:rsidRDefault="00B272AC" w:rsidP="00050B9E">
      <w:pPr>
        <w:ind w:firstLine="720"/>
        <w:jc w:val="both"/>
        <w:rPr>
          <w:sz w:val="22"/>
          <w:szCs w:val="22"/>
          <w:lang w:val="en-US"/>
        </w:rPr>
      </w:pPr>
      <w:r w:rsidRPr="00662DD3">
        <w:rPr>
          <w:sz w:val="22"/>
          <w:szCs w:val="22"/>
          <w:lang w:val="en-US"/>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sidRPr="00662DD3">
        <w:rPr>
          <w:sz w:val="22"/>
          <w:szCs w:val="22"/>
          <w:lang w:val="en-US"/>
        </w:rPr>
        <w:t>e</w:t>
      </w:r>
      <w:r w:rsidRPr="00662DD3">
        <w:rPr>
          <w:sz w:val="22"/>
          <w:szCs w:val="22"/>
          <w:lang w:val="en-US"/>
        </w:rPr>
        <w:t xml:space="preserve">arly </w:t>
      </w:r>
      <w:r w:rsidR="00C43C3C" w:rsidRPr="00662DD3">
        <w:rPr>
          <w:sz w:val="22"/>
          <w:szCs w:val="22"/>
          <w:lang w:val="en-US"/>
        </w:rPr>
        <w:t>d</w:t>
      </w:r>
      <w:r w:rsidRPr="00662DD3">
        <w:rPr>
          <w:sz w:val="22"/>
          <w:szCs w:val="22"/>
          <w:lang w:val="en-US"/>
        </w:rPr>
        <w:t xml:space="preserve">etection and </w:t>
      </w:r>
      <w:r w:rsidR="00C43C3C" w:rsidRPr="00662DD3">
        <w:rPr>
          <w:sz w:val="22"/>
          <w:szCs w:val="22"/>
          <w:lang w:val="en-US"/>
        </w:rPr>
        <w:t>e</w:t>
      </w:r>
      <w:r w:rsidRPr="00662DD3">
        <w:rPr>
          <w:sz w:val="22"/>
          <w:szCs w:val="22"/>
          <w:lang w:val="en-US"/>
        </w:rPr>
        <w:t xml:space="preserve">xclusion </w:t>
      </w:r>
      <w:r w:rsidR="00C43C3C" w:rsidRPr="00662DD3">
        <w:rPr>
          <w:sz w:val="22"/>
          <w:szCs w:val="22"/>
          <w:lang w:val="en-US"/>
        </w:rPr>
        <w:t>s</w:t>
      </w:r>
      <w:r w:rsidRPr="00662DD3">
        <w:rPr>
          <w:sz w:val="22"/>
          <w:szCs w:val="22"/>
          <w:lang w:val="en-US"/>
        </w:rPr>
        <w:t>ystem (EDES)</w:t>
      </w:r>
      <w:r w:rsidR="00DD0D7B" w:rsidRPr="00662DD3">
        <w:rPr>
          <w:sz w:val="22"/>
          <w:szCs w:val="22"/>
          <w:lang w:val="en-US"/>
        </w:rPr>
        <w:t xml:space="preserve"> </w:t>
      </w:r>
      <w:r w:rsidRPr="00662DD3">
        <w:rPr>
          <w:sz w:val="22"/>
          <w:szCs w:val="22"/>
          <w:lang w:val="en-US"/>
        </w:rPr>
        <w:t>and communicated to the persons and entities concerned in relation to the award or the execution of a procurement contract.</w:t>
      </w:r>
    </w:p>
    <w:sectPr w:rsidR="00B272AC" w:rsidRPr="00BC76CC" w:rsidSect="00CA5398">
      <w:headerReference w:type="default" r:id="rId9"/>
      <w:footerReference w:type="default" r:id="rId10"/>
      <w:footnotePr>
        <w:numFmt w:val="chicago"/>
      </w:footnotePr>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80B23" w14:textId="77777777" w:rsidR="00B11522" w:rsidRDefault="00B11522">
      <w:r>
        <w:separator/>
      </w:r>
    </w:p>
  </w:endnote>
  <w:endnote w:type="continuationSeparator" w:id="0">
    <w:p w14:paraId="618E84C1" w14:textId="77777777" w:rsidR="00B11522" w:rsidRDefault="00B1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FDD07" w14:textId="74E623F0" w:rsidR="009438A5" w:rsidRPr="00913ED7" w:rsidRDefault="009438A5" w:rsidP="009438A5">
    <w:pPr>
      <w:widowControl/>
      <w:tabs>
        <w:tab w:val="right" w:pos="8789"/>
      </w:tabs>
      <w:spacing w:before="0" w:after="0"/>
      <w:ind w:right="43"/>
      <w:jc w:val="center"/>
      <w:rPr>
        <w:b/>
        <w:bCs/>
        <w:i/>
        <w:sz w:val="20"/>
        <w:lang w:val="bg-BG"/>
      </w:rPr>
    </w:pPr>
    <w:proofErr w:type="spellStart"/>
    <w:r w:rsidRPr="009438A5">
      <w:rPr>
        <w:b/>
        <w:bCs/>
        <w:i/>
        <w:iCs/>
        <w:sz w:val="20"/>
        <w:lang w:val="bg-BG"/>
      </w:rPr>
      <w:t>The</w:t>
    </w:r>
    <w:proofErr w:type="spellEnd"/>
    <w:r w:rsidRPr="009438A5">
      <w:rPr>
        <w:b/>
        <w:bCs/>
        <w:i/>
        <w:iCs/>
        <w:sz w:val="20"/>
        <w:lang w:val="bg-BG"/>
      </w:rPr>
      <w:t xml:space="preserve"> </w:t>
    </w:r>
    <w:proofErr w:type="spellStart"/>
    <w:r w:rsidRPr="009438A5">
      <w:rPr>
        <w:b/>
        <w:bCs/>
        <w:i/>
        <w:iCs/>
        <w:sz w:val="20"/>
        <w:lang w:val="bg-BG"/>
      </w:rPr>
      <w:t>project</w:t>
    </w:r>
    <w:proofErr w:type="spellEnd"/>
    <w:r w:rsidRPr="009438A5">
      <w:rPr>
        <w:b/>
        <w:bCs/>
        <w:i/>
        <w:iCs/>
        <w:sz w:val="20"/>
        <w:lang w:val="bg-BG"/>
      </w:rPr>
      <w:t xml:space="preserve"> </w:t>
    </w:r>
    <w:proofErr w:type="spellStart"/>
    <w:r w:rsidRPr="009438A5">
      <w:rPr>
        <w:b/>
        <w:bCs/>
        <w:i/>
        <w:iCs/>
        <w:sz w:val="20"/>
        <w:lang w:val="bg-BG"/>
      </w:rPr>
      <w:t>is</w:t>
    </w:r>
    <w:proofErr w:type="spellEnd"/>
    <w:r w:rsidRPr="009438A5">
      <w:rPr>
        <w:b/>
        <w:bCs/>
        <w:i/>
        <w:iCs/>
        <w:sz w:val="20"/>
        <w:lang w:val="bg-BG"/>
      </w:rPr>
      <w:t xml:space="preserve"> </w:t>
    </w:r>
    <w:proofErr w:type="spellStart"/>
    <w:r w:rsidRPr="009438A5">
      <w:rPr>
        <w:b/>
        <w:bCs/>
        <w:i/>
        <w:iCs/>
        <w:sz w:val="20"/>
        <w:lang w:val="bg-BG"/>
      </w:rPr>
      <w:t>co-funded</w:t>
    </w:r>
    <w:proofErr w:type="spellEnd"/>
    <w:r w:rsidRPr="009438A5">
      <w:rPr>
        <w:b/>
        <w:bCs/>
        <w:i/>
        <w:iCs/>
        <w:sz w:val="20"/>
        <w:lang w:val="bg-BG"/>
      </w:rPr>
      <w:t xml:space="preserve"> </w:t>
    </w:r>
    <w:proofErr w:type="spellStart"/>
    <w:r w:rsidRPr="009438A5">
      <w:rPr>
        <w:b/>
        <w:bCs/>
        <w:i/>
        <w:iCs/>
        <w:sz w:val="20"/>
        <w:lang w:val="bg-BG"/>
      </w:rPr>
      <w:t>by</w:t>
    </w:r>
    <w:proofErr w:type="spellEnd"/>
    <w:r w:rsidRPr="009438A5">
      <w:rPr>
        <w:b/>
        <w:bCs/>
        <w:i/>
        <w:iCs/>
        <w:sz w:val="20"/>
        <w:lang w:val="bg-BG"/>
      </w:rPr>
      <w:t xml:space="preserve"> EU </w:t>
    </w:r>
    <w:proofErr w:type="spellStart"/>
    <w:r w:rsidRPr="009438A5">
      <w:rPr>
        <w:b/>
        <w:bCs/>
        <w:i/>
        <w:iCs/>
        <w:sz w:val="20"/>
        <w:lang w:val="bg-BG"/>
      </w:rPr>
      <w:t>through</w:t>
    </w:r>
    <w:proofErr w:type="spellEnd"/>
    <w:r w:rsidRPr="009438A5">
      <w:rPr>
        <w:b/>
        <w:bCs/>
        <w:i/>
        <w:iCs/>
        <w:sz w:val="20"/>
        <w:lang w:val="bg-BG"/>
      </w:rPr>
      <w:t xml:space="preserve"> </w:t>
    </w:r>
    <w:proofErr w:type="spellStart"/>
    <w:r w:rsidRPr="009438A5">
      <w:rPr>
        <w:b/>
        <w:bCs/>
        <w:i/>
        <w:iCs/>
        <w:sz w:val="20"/>
        <w:lang w:val="bg-BG"/>
      </w:rPr>
      <w:t>the</w:t>
    </w:r>
    <w:proofErr w:type="spellEnd"/>
    <w:r w:rsidRPr="009438A5">
      <w:rPr>
        <w:b/>
        <w:bCs/>
        <w:i/>
        <w:iCs/>
        <w:sz w:val="20"/>
        <w:lang w:val="bg-BG"/>
      </w:rPr>
      <w:t xml:space="preserve"> </w:t>
    </w:r>
    <w:proofErr w:type="spellStart"/>
    <w:r w:rsidRPr="009438A5">
      <w:rPr>
        <w:b/>
        <w:bCs/>
        <w:i/>
        <w:iCs/>
        <w:sz w:val="20"/>
        <w:lang w:val="bg-BG"/>
      </w:rPr>
      <w:t>Interreg</w:t>
    </w:r>
    <w:proofErr w:type="spellEnd"/>
    <w:r w:rsidRPr="009438A5">
      <w:rPr>
        <w:b/>
        <w:bCs/>
        <w:i/>
        <w:iCs/>
        <w:sz w:val="20"/>
        <w:lang w:val="bg-BG"/>
      </w:rPr>
      <w:t xml:space="preserve">-IPA CBC </w:t>
    </w:r>
    <w:proofErr w:type="spellStart"/>
    <w:r w:rsidRPr="009438A5">
      <w:rPr>
        <w:b/>
        <w:bCs/>
        <w:i/>
        <w:iCs/>
        <w:sz w:val="20"/>
        <w:lang w:val="bg-BG"/>
      </w:rPr>
      <w:t>Programme</w:t>
    </w:r>
    <w:proofErr w:type="spellEnd"/>
    <w:r w:rsidRPr="009438A5">
      <w:rPr>
        <w:b/>
        <w:bCs/>
        <w:i/>
        <w:iCs/>
        <w:sz w:val="20"/>
        <w:lang w:val="bg-BG"/>
      </w:rPr>
      <w:t xml:space="preserve"> </w:t>
    </w:r>
    <w:proofErr w:type="spellStart"/>
    <w:r w:rsidRPr="009438A5">
      <w:rPr>
        <w:b/>
        <w:bCs/>
        <w:i/>
        <w:iCs/>
        <w:sz w:val="20"/>
        <w:lang w:val="bg-BG"/>
      </w:rPr>
      <w:t>Bulgaria</w:t>
    </w:r>
    <w:proofErr w:type="spellEnd"/>
    <w:r w:rsidRPr="009438A5">
      <w:rPr>
        <w:b/>
        <w:bCs/>
        <w:i/>
        <w:iCs/>
        <w:sz w:val="20"/>
        <w:lang w:val="bg-BG"/>
      </w:rPr>
      <w:t>-</w:t>
    </w:r>
    <w:bookmarkStart w:id="4" w:name="_Hlk54613385"/>
    <w:r w:rsidR="00913ED7" w:rsidRPr="00913ED7">
      <w:rPr>
        <w:b/>
        <w:bCs/>
        <w:i/>
        <w:iCs/>
        <w:sz w:val="20"/>
        <w:lang w:val="en-US"/>
      </w:rPr>
      <w:t xml:space="preserve">Serbia </w:t>
    </w:r>
    <w:proofErr w:type="spellStart"/>
    <w:r w:rsidR="00913ED7" w:rsidRPr="00913ED7">
      <w:rPr>
        <w:b/>
        <w:bCs/>
        <w:i/>
        <w:iCs/>
        <w:sz w:val="20"/>
        <w:lang w:val="en-US"/>
      </w:rPr>
      <w:t>Programme</w:t>
    </w:r>
    <w:proofErr w:type="spellEnd"/>
    <w:r w:rsidR="00913ED7" w:rsidRPr="00913ED7">
      <w:rPr>
        <w:b/>
        <w:bCs/>
        <w:i/>
        <w:iCs/>
        <w:sz w:val="20"/>
        <w:lang w:val="en-US"/>
      </w:rPr>
      <w:t xml:space="preserve"> 2014-2020, CCI 2014TC16I5CB007</w:t>
    </w:r>
    <w:bookmarkEnd w:id="4"/>
  </w:p>
  <w:p w14:paraId="53EF02B9" w14:textId="0031DC69" w:rsidR="00B640CA" w:rsidRPr="000F07CD" w:rsidRDefault="003C07AC" w:rsidP="009B4A52">
    <w:pPr>
      <w:pStyle w:val="a9"/>
      <w:tabs>
        <w:tab w:val="clear" w:pos="4536"/>
        <w:tab w:val="clear" w:pos="9072"/>
        <w:tab w:val="right" w:pos="9356"/>
      </w:tabs>
      <w:spacing w:before="0" w:after="0"/>
      <w:rPr>
        <w:rStyle w:val="aa"/>
        <w:sz w:val="18"/>
        <w:szCs w:val="18"/>
        <w:lang w:val="en-GB"/>
      </w:rPr>
    </w:pPr>
    <w:r w:rsidRPr="003C07AC">
      <w:rPr>
        <w:b/>
        <w:sz w:val="18"/>
      </w:rPr>
      <w:t>August 2020</w:t>
    </w:r>
    <w:r w:rsidR="00B640CA" w:rsidRPr="000F07CD">
      <w:rPr>
        <w:sz w:val="18"/>
        <w:szCs w:val="18"/>
        <w:lang w:val="en-GB"/>
      </w:rPr>
      <w:tab/>
      <w:t xml:space="preserve">Page </w:t>
    </w:r>
    <w:r w:rsidR="00B640CA" w:rsidRPr="009B4A52">
      <w:rPr>
        <w:rStyle w:val="aa"/>
        <w:sz w:val="18"/>
        <w:szCs w:val="18"/>
      </w:rPr>
      <w:fldChar w:fldCharType="begin"/>
    </w:r>
    <w:r w:rsidR="00B640CA" w:rsidRPr="000F07CD">
      <w:rPr>
        <w:rStyle w:val="aa"/>
        <w:sz w:val="18"/>
        <w:szCs w:val="18"/>
        <w:lang w:val="en-GB"/>
      </w:rPr>
      <w:instrText xml:space="preserve"> PAGE </w:instrText>
    </w:r>
    <w:r w:rsidR="00B640CA" w:rsidRPr="009B4A52">
      <w:rPr>
        <w:rStyle w:val="aa"/>
        <w:sz w:val="18"/>
        <w:szCs w:val="18"/>
      </w:rPr>
      <w:fldChar w:fldCharType="separate"/>
    </w:r>
    <w:r w:rsidR="00EF4A3C">
      <w:rPr>
        <w:rStyle w:val="aa"/>
        <w:noProof/>
        <w:sz w:val="18"/>
        <w:szCs w:val="18"/>
        <w:lang w:val="en-GB"/>
      </w:rPr>
      <w:t>6</w:t>
    </w:r>
    <w:r w:rsidR="00B640CA" w:rsidRPr="009B4A52">
      <w:rPr>
        <w:rStyle w:val="aa"/>
        <w:sz w:val="18"/>
        <w:szCs w:val="18"/>
      </w:rPr>
      <w:fldChar w:fldCharType="end"/>
    </w:r>
    <w:r w:rsidR="00B640CA" w:rsidRPr="000F07CD">
      <w:rPr>
        <w:rStyle w:val="aa"/>
        <w:sz w:val="18"/>
        <w:szCs w:val="18"/>
        <w:lang w:val="en-GB"/>
      </w:rPr>
      <w:t xml:space="preserve"> of </w:t>
    </w:r>
    <w:r w:rsidR="00B640CA" w:rsidRPr="009B4A52">
      <w:rPr>
        <w:rStyle w:val="aa"/>
        <w:sz w:val="18"/>
        <w:szCs w:val="18"/>
      </w:rPr>
      <w:fldChar w:fldCharType="begin"/>
    </w:r>
    <w:r w:rsidR="00B640CA" w:rsidRPr="000F07CD">
      <w:rPr>
        <w:rStyle w:val="aa"/>
        <w:sz w:val="18"/>
        <w:szCs w:val="18"/>
        <w:lang w:val="en-GB"/>
      </w:rPr>
      <w:instrText xml:space="preserve"> NUMPAGES </w:instrText>
    </w:r>
    <w:r w:rsidR="00B640CA" w:rsidRPr="009B4A52">
      <w:rPr>
        <w:rStyle w:val="aa"/>
        <w:sz w:val="18"/>
        <w:szCs w:val="18"/>
      </w:rPr>
      <w:fldChar w:fldCharType="separate"/>
    </w:r>
    <w:r w:rsidR="00EF4A3C">
      <w:rPr>
        <w:rStyle w:val="aa"/>
        <w:noProof/>
        <w:sz w:val="18"/>
        <w:szCs w:val="18"/>
        <w:lang w:val="en-GB"/>
      </w:rPr>
      <w:t>9</w:t>
    </w:r>
    <w:r w:rsidR="00B640CA" w:rsidRPr="009B4A52">
      <w:rPr>
        <w:rStyle w:val="aa"/>
        <w:sz w:val="18"/>
        <w:szCs w:val="18"/>
      </w:rPr>
      <w:fldChar w:fldCharType="end"/>
    </w:r>
  </w:p>
  <w:p w14:paraId="1348615B" w14:textId="77777777" w:rsidR="00B640CA" w:rsidRPr="000F07CD" w:rsidRDefault="00B640CA"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326470" w14:textId="77777777" w:rsidR="00B11522" w:rsidRDefault="00B11522">
      <w:r>
        <w:separator/>
      </w:r>
    </w:p>
  </w:footnote>
  <w:footnote w:type="continuationSeparator" w:id="0">
    <w:p w14:paraId="6A0CE00E" w14:textId="77777777" w:rsidR="00B11522" w:rsidRDefault="00B11522">
      <w:r>
        <w:continuationSeparator/>
      </w:r>
    </w:p>
  </w:footnote>
  <w:footnote w:id="1">
    <w:p w14:paraId="5E48ECC2" w14:textId="77777777" w:rsidR="00A95184" w:rsidRPr="00321225" w:rsidRDefault="00A95184" w:rsidP="00104D73">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ook w:val="04A0" w:firstRow="1" w:lastRow="0" w:firstColumn="1" w:lastColumn="0" w:noHBand="0" w:noVBand="1"/>
    </w:tblPr>
    <w:tblGrid>
      <w:gridCol w:w="2671"/>
      <w:gridCol w:w="6618"/>
    </w:tblGrid>
    <w:tr w:rsidR="009438A5" w:rsidRPr="009438A5" w14:paraId="3EAF0DB1" w14:textId="77777777" w:rsidTr="00886C2F">
      <w:trPr>
        <w:jc w:val="center"/>
      </w:trPr>
      <w:tc>
        <w:tcPr>
          <w:tcW w:w="2671" w:type="dxa"/>
          <w:hideMark/>
        </w:tcPr>
        <w:p w14:paraId="7917B938" w14:textId="45D82501" w:rsidR="009438A5" w:rsidRPr="009438A5" w:rsidRDefault="00764986" w:rsidP="009438A5">
          <w:pPr>
            <w:widowControl/>
            <w:tabs>
              <w:tab w:val="center" w:pos="4703"/>
              <w:tab w:val="right" w:pos="9406"/>
            </w:tabs>
            <w:snapToGrid w:val="0"/>
            <w:spacing w:before="0" w:after="120" w:line="259" w:lineRule="auto"/>
            <w:rPr>
              <w:rFonts w:ascii="Calibri" w:eastAsia="Calibri" w:hAnsi="Calibri"/>
              <w:i/>
              <w:snapToGrid/>
              <w:color w:val="0F243E"/>
              <w:sz w:val="20"/>
              <w:szCs w:val="22"/>
              <w:lang w:val="bg-BG"/>
            </w:rPr>
          </w:pPr>
          <w:r>
            <w:rPr>
              <w:rFonts w:ascii="Calibri" w:eastAsia="Calibri" w:hAnsi="Calibri"/>
              <w:noProof/>
              <w:snapToGrid/>
              <w:sz w:val="22"/>
              <w:szCs w:val="22"/>
              <w:lang w:val="bg-BG" w:eastAsia="bg-BG"/>
            </w:rPr>
            <w:drawing>
              <wp:inline distT="0" distB="0" distL="0" distR="0" wp14:anchorId="417503C9" wp14:editId="65E2B8CB">
                <wp:extent cx="1254125" cy="867410"/>
                <wp:effectExtent l="0" t="0" r="0" b="0"/>
                <wp:docPr id="1" name="Picture 1" descr="Description: EU flag - full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 flag - full 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125" cy="867410"/>
                        </a:xfrm>
                        <a:prstGeom prst="rect">
                          <a:avLst/>
                        </a:prstGeom>
                        <a:noFill/>
                        <a:ln>
                          <a:noFill/>
                        </a:ln>
                      </pic:spPr>
                    </pic:pic>
                  </a:graphicData>
                </a:graphic>
              </wp:inline>
            </w:drawing>
          </w:r>
        </w:p>
      </w:tc>
      <w:tc>
        <w:tcPr>
          <w:tcW w:w="6618" w:type="dxa"/>
          <w:hideMark/>
        </w:tcPr>
        <w:p w14:paraId="1E29A516" w14:textId="5E94EB11" w:rsidR="009438A5" w:rsidRPr="009438A5" w:rsidRDefault="00913ED7" w:rsidP="009438A5">
          <w:pPr>
            <w:widowControl/>
            <w:tabs>
              <w:tab w:val="center" w:pos="4703"/>
              <w:tab w:val="right" w:pos="9406"/>
            </w:tabs>
            <w:snapToGrid w:val="0"/>
            <w:spacing w:before="0" w:after="120" w:line="259" w:lineRule="auto"/>
            <w:jc w:val="right"/>
            <w:rPr>
              <w:rFonts w:ascii="Calibri" w:eastAsia="Calibri" w:hAnsi="Calibri"/>
              <w:i/>
              <w:snapToGrid/>
              <w:color w:val="0F243E"/>
              <w:sz w:val="20"/>
              <w:szCs w:val="22"/>
              <w:lang w:val="bg-BG"/>
            </w:rPr>
          </w:pPr>
          <w:r w:rsidRPr="004B726F">
            <w:rPr>
              <w:rFonts w:ascii="Arial" w:hAnsi="Arial" w:cs="Arial"/>
              <w:i/>
              <w:noProof/>
              <w:snapToGrid/>
              <w:sz w:val="22"/>
              <w:szCs w:val="22"/>
              <w:lang w:val="bg-BG" w:eastAsia="bg-BG"/>
            </w:rPr>
            <w:drawing>
              <wp:inline distT="0" distB="0" distL="0" distR="0" wp14:anchorId="120AC851" wp14:editId="42B3766F">
                <wp:extent cx="3417570" cy="794385"/>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r>
  </w:tbl>
  <w:p w14:paraId="5CAD0AD4" w14:textId="489F0EC6" w:rsidR="001709CB" w:rsidRPr="009438A5" w:rsidRDefault="009438A5" w:rsidP="009438A5">
    <w:pPr>
      <w:widowControl/>
      <w:tabs>
        <w:tab w:val="center" w:pos="4703"/>
        <w:tab w:val="right" w:pos="9406"/>
      </w:tabs>
      <w:snapToGrid w:val="0"/>
      <w:spacing w:before="0" w:after="160" w:line="259" w:lineRule="auto"/>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3" w:name="_Hlk54613452"/>
    <w:proofErr w:type="spellStart"/>
    <w:r w:rsidR="00913ED7" w:rsidRPr="00913ED7">
      <w:rPr>
        <w:rFonts w:eastAsia="Calibri"/>
        <w:b/>
        <w:i/>
        <w:snapToGrid/>
        <w:color w:val="0F243E"/>
        <w:sz w:val="20"/>
        <w:szCs w:val="22"/>
        <w:lang w:val="bg-BG"/>
      </w:rPr>
      <w:t>Heterotopias</w:t>
    </w:r>
    <w:proofErr w:type="spellEnd"/>
    <w:r w:rsidR="00913ED7" w:rsidRPr="00913ED7">
      <w:rPr>
        <w:rFonts w:eastAsia="Calibri"/>
        <w:b/>
        <w:i/>
        <w:snapToGrid/>
        <w:color w:val="0F243E"/>
        <w:sz w:val="20"/>
        <w:szCs w:val="22"/>
        <w:lang w:val="bg-BG"/>
      </w:rPr>
      <w:t xml:space="preserve"> – CB007.2.11.224</w:t>
    </w:r>
    <w:bookmarkEnd w:id="3"/>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FC"/>
    <w:multiLevelType w:val="hybridMultilevel"/>
    <w:tmpl w:val="87A072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B94625"/>
    <w:multiLevelType w:val="hybridMultilevel"/>
    <w:tmpl w:val="1F28AD30"/>
    <w:lvl w:ilvl="0" w:tplc="684477FA">
      <w:start w:val="1"/>
      <w:numFmt w:val="lowerRoman"/>
      <w:lvlText w:val="(%1)"/>
      <w:lvlJc w:val="left"/>
      <w:pPr>
        <w:ind w:left="1996" w:hanging="720"/>
      </w:pPr>
      <w:rPr>
        <w:rFonts w:hint="default"/>
      </w:rPr>
    </w:lvl>
    <w:lvl w:ilvl="1" w:tplc="04020019" w:tentative="1">
      <w:start w:val="1"/>
      <w:numFmt w:val="lowerLetter"/>
      <w:lvlText w:val="%2."/>
      <w:lvlJc w:val="left"/>
      <w:pPr>
        <w:ind w:left="2356" w:hanging="360"/>
      </w:pPr>
    </w:lvl>
    <w:lvl w:ilvl="2" w:tplc="0402001B" w:tentative="1">
      <w:start w:val="1"/>
      <w:numFmt w:val="lowerRoman"/>
      <w:lvlText w:val="%3."/>
      <w:lvlJc w:val="right"/>
      <w:pPr>
        <w:ind w:left="3076" w:hanging="180"/>
      </w:pPr>
    </w:lvl>
    <w:lvl w:ilvl="3" w:tplc="0402000F" w:tentative="1">
      <w:start w:val="1"/>
      <w:numFmt w:val="decimal"/>
      <w:lvlText w:val="%4."/>
      <w:lvlJc w:val="left"/>
      <w:pPr>
        <w:ind w:left="3796" w:hanging="360"/>
      </w:pPr>
    </w:lvl>
    <w:lvl w:ilvl="4" w:tplc="04020019" w:tentative="1">
      <w:start w:val="1"/>
      <w:numFmt w:val="lowerLetter"/>
      <w:lvlText w:val="%5."/>
      <w:lvlJc w:val="left"/>
      <w:pPr>
        <w:ind w:left="4516" w:hanging="360"/>
      </w:pPr>
    </w:lvl>
    <w:lvl w:ilvl="5" w:tplc="0402001B" w:tentative="1">
      <w:start w:val="1"/>
      <w:numFmt w:val="lowerRoman"/>
      <w:lvlText w:val="%6."/>
      <w:lvlJc w:val="right"/>
      <w:pPr>
        <w:ind w:left="5236" w:hanging="180"/>
      </w:pPr>
    </w:lvl>
    <w:lvl w:ilvl="6" w:tplc="0402000F" w:tentative="1">
      <w:start w:val="1"/>
      <w:numFmt w:val="decimal"/>
      <w:lvlText w:val="%7."/>
      <w:lvlJc w:val="left"/>
      <w:pPr>
        <w:ind w:left="5956" w:hanging="360"/>
      </w:pPr>
    </w:lvl>
    <w:lvl w:ilvl="7" w:tplc="04020019" w:tentative="1">
      <w:start w:val="1"/>
      <w:numFmt w:val="lowerLetter"/>
      <w:lvlText w:val="%8."/>
      <w:lvlJc w:val="left"/>
      <w:pPr>
        <w:ind w:left="6676" w:hanging="360"/>
      </w:pPr>
    </w:lvl>
    <w:lvl w:ilvl="8" w:tplc="0402001B" w:tentative="1">
      <w:start w:val="1"/>
      <w:numFmt w:val="lowerRoman"/>
      <w:lvlText w:val="%9."/>
      <w:lvlJc w:val="right"/>
      <w:pPr>
        <w:ind w:left="7396" w:hanging="180"/>
      </w:pPr>
    </w:lvl>
  </w:abstractNum>
  <w:abstractNum w:abstractNumId="3" w15:restartNumberingAfterBreak="0">
    <w:nsid w:val="3FFA2666"/>
    <w:multiLevelType w:val="hybridMultilevel"/>
    <w:tmpl w:val="A218DE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66481740"/>
    <w:multiLevelType w:val="hybridMultilevel"/>
    <w:tmpl w:val="4F3E5D6C"/>
    <w:lvl w:ilvl="0" w:tplc="E0DACF0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1"/>
  </w:num>
  <w:num w:numId="2">
    <w:abstractNumId w:val="5"/>
  </w:num>
  <w:num w:numId="3">
    <w:abstractNumId w:val="4"/>
  </w:num>
  <w:num w:numId="4">
    <w:abstractNumId w:val="0"/>
  </w:num>
  <w:num w:numId="5">
    <w:abstractNumId w:val="3"/>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433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C733BD"/>
    <w:rsid w:val="000132F4"/>
    <w:rsid w:val="00013B11"/>
    <w:rsid w:val="000158F3"/>
    <w:rsid w:val="00015F72"/>
    <w:rsid w:val="0002576E"/>
    <w:rsid w:val="00040BD0"/>
    <w:rsid w:val="000462E7"/>
    <w:rsid w:val="00046700"/>
    <w:rsid w:val="00047785"/>
    <w:rsid w:val="00047CFC"/>
    <w:rsid w:val="00047FCB"/>
    <w:rsid w:val="00050B9E"/>
    <w:rsid w:val="00061733"/>
    <w:rsid w:val="00065E5A"/>
    <w:rsid w:val="00072A47"/>
    <w:rsid w:val="00081F83"/>
    <w:rsid w:val="000824D8"/>
    <w:rsid w:val="00090FAB"/>
    <w:rsid w:val="00096962"/>
    <w:rsid w:val="000B5CA1"/>
    <w:rsid w:val="000C2CE9"/>
    <w:rsid w:val="000D010A"/>
    <w:rsid w:val="000D17E3"/>
    <w:rsid w:val="000D65F3"/>
    <w:rsid w:val="000E1F11"/>
    <w:rsid w:val="000E27C4"/>
    <w:rsid w:val="000E6C62"/>
    <w:rsid w:val="000E7FF7"/>
    <w:rsid w:val="000F07CD"/>
    <w:rsid w:val="000F67CD"/>
    <w:rsid w:val="00103048"/>
    <w:rsid w:val="001048E6"/>
    <w:rsid w:val="00104D73"/>
    <w:rsid w:val="00113543"/>
    <w:rsid w:val="00116569"/>
    <w:rsid w:val="0012198B"/>
    <w:rsid w:val="00124E3D"/>
    <w:rsid w:val="00126FD5"/>
    <w:rsid w:val="00132A6F"/>
    <w:rsid w:val="00136748"/>
    <w:rsid w:val="001408AF"/>
    <w:rsid w:val="001409A5"/>
    <w:rsid w:val="00144A03"/>
    <w:rsid w:val="00145842"/>
    <w:rsid w:val="00146F24"/>
    <w:rsid w:val="001524B3"/>
    <w:rsid w:val="0016067C"/>
    <w:rsid w:val="001631E3"/>
    <w:rsid w:val="0016704A"/>
    <w:rsid w:val="001709CB"/>
    <w:rsid w:val="00171867"/>
    <w:rsid w:val="00172778"/>
    <w:rsid w:val="00172E62"/>
    <w:rsid w:val="00174954"/>
    <w:rsid w:val="0017755B"/>
    <w:rsid w:val="00181064"/>
    <w:rsid w:val="00184185"/>
    <w:rsid w:val="001853F1"/>
    <w:rsid w:val="00191072"/>
    <w:rsid w:val="0019256F"/>
    <w:rsid w:val="00193AA4"/>
    <w:rsid w:val="001A65EB"/>
    <w:rsid w:val="001B3A6B"/>
    <w:rsid w:val="001B4FD9"/>
    <w:rsid w:val="001C552D"/>
    <w:rsid w:val="001D5D4B"/>
    <w:rsid w:val="001D6F33"/>
    <w:rsid w:val="001E2442"/>
    <w:rsid w:val="001E290D"/>
    <w:rsid w:val="001F3745"/>
    <w:rsid w:val="001F4887"/>
    <w:rsid w:val="00201308"/>
    <w:rsid w:val="00202C77"/>
    <w:rsid w:val="002139C6"/>
    <w:rsid w:val="0021403C"/>
    <w:rsid w:val="00215920"/>
    <w:rsid w:val="002246CA"/>
    <w:rsid w:val="00226910"/>
    <w:rsid w:val="0023559E"/>
    <w:rsid w:val="002361B1"/>
    <w:rsid w:val="00240E69"/>
    <w:rsid w:val="00251ADC"/>
    <w:rsid w:val="0025570B"/>
    <w:rsid w:val="00261F1C"/>
    <w:rsid w:val="002622DE"/>
    <w:rsid w:val="0026522B"/>
    <w:rsid w:val="002654E1"/>
    <w:rsid w:val="002664F5"/>
    <w:rsid w:val="00272709"/>
    <w:rsid w:val="00276D41"/>
    <w:rsid w:val="002777DC"/>
    <w:rsid w:val="00283DDC"/>
    <w:rsid w:val="0029420A"/>
    <w:rsid w:val="002A0F9A"/>
    <w:rsid w:val="002A3784"/>
    <w:rsid w:val="002A7B14"/>
    <w:rsid w:val="002B0469"/>
    <w:rsid w:val="002B6113"/>
    <w:rsid w:val="002B6FFC"/>
    <w:rsid w:val="002C6422"/>
    <w:rsid w:val="002D75F2"/>
    <w:rsid w:val="002D7868"/>
    <w:rsid w:val="002E09EF"/>
    <w:rsid w:val="002E2E26"/>
    <w:rsid w:val="002E5030"/>
    <w:rsid w:val="002E735D"/>
    <w:rsid w:val="002E7C2B"/>
    <w:rsid w:val="002F1040"/>
    <w:rsid w:val="002F54C8"/>
    <w:rsid w:val="002F7DAB"/>
    <w:rsid w:val="003036D6"/>
    <w:rsid w:val="003100BB"/>
    <w:rsid w:val="0031245B"/>
    <w:rsid w:val="0031334B"/>
    <w:rsid w:val="00321225"/>
    <w:rsid w:val="00330EF5"/>
    <w:rsid w:val="00337F6E"/>
    <w:rsid w:val="00341E7E"/>
    <w:rsid w:val="003432DB"/>
    <w:rsid w:val="00344654"/>
    <w:rsid w:val="00345D09"/>
    <w:rsid w:val="00355686"/>
    <w:rsid w:val="00366082"/>
    <w:rsid w:val="003720EC"/>
    <w:rsid w:val="003815A6"/>
    <w:rsid w:val="00383D66"/>
    <w:rsid w:val="003900DF"/>
    <w:rsid w:val="00391F9F"/>
    <w:rsid w:val="003923FE"/>
    <w:rsid w:val="003A027C"/>
    <w:rsid w:val="003A0BD1"/>
    <w:rsid w:val="003A2491"/>
    <w:rsid w:val="003A51DF"/>
    <w:rsid w:val="003B2B49"/>
    <w:rsid w:val="003B5AB5"/>
    <w:rsid w:val="003B7B6F"/>
    <w:rsid w:val="003C07AC"/>
    <w:rsid w:val="003C3139"/>
    <w:rsid w:val="003D5496"/>
    <w:rsid w:val="003E27E0"/>
    <w:rsid w:val="003E5E93"/>
    <w:rsid w:val="003E7496"/>
    <w:rsid w:val="003F5901"/>
    <w:rsid w:val="0040130C"/>
    <w:rsid w:val="00403618"/>
    <w:rsid w:val="00405ED1"/>
    <w:rsid w:val="00410A8A"/>
    <w:rsid w:val="004206D4"/>
    <w:rsid w:val="00424AD7"/>
    <w:rsid w:val="0042670F"/>
    <w:rsid w:val="0043263D"/>
    <w:rsid w:val="00432B51"/>
    <w:rsid w:val="00434120"/>
    <w:rsid w:val="004430E0"/>
    <w:rsid w:val="004441D7"/>
    <w:rsid w:val="00450828"/>
    <w:rsid w:val="00457706"/>
    <w:rsid w:val="00461ED0"/>
    <w:rsid w:val="0046267B"/>
    <w:rsid w:val="00465DFA"/>
    <w:rsid w:val="004664C5"/>
    <w:rsid w:val="004667E0"/>
    <w:rsid w:val="0047639E"/>
    <w:rsid w:val="00480358"/>
    <w:rsid w:val="00480540"/>
    <w:rsid w:val="00484326"/>
    <w:rsid w:val="00486C58"/>
    <w:rsid w:val="0049100C"/>
    <w:rsid w:val="00491889"/>
    <w:rsid w:val="00492F3A"/>
    <w:rsid w:val="00494DE2"/>
    <w:rsid w:val="004B1831"/>
    <w:rsid w:val="004B20A1"/>
    <w:rsid w:val="004B3E45"/>
    <w:rsid w:val="004C0660"/>
    <w:rsid w:val="004C4A41"/>
    <w:rsid w:val="004C63A6"/>
    <w:rsid w:val="004C69BC"/>
    <w:rsid w:val="004D0E69"/>
    <w:rsid w:val="004D3C1A"/>
    <w:rsid w:val="004E1DA5"/>
    <w:rsid w:val="004E1FDB"/>
    <w:rsid w:val="00505C54"/>
    <w:rsid w:val="00510229"/>
    <w:rsid w:val="00510932"/>
    <w:rsid w:val="005206B5"/>
    <w:rsid w:val="00521286"/>
    <w:rsid w:val="00522442"/>
    <w:rsid w:val="00522AC4"/>
    <w:rsid w:val="00523CA1"/>
    <w:rsid w:val="00530DB0"/>
    <w:rsid w:val="00551B3A"/>
    <w:rsid w:val="005665FF"/>
    <w:rsid w:val="005711BD"/>
    <w:rsid w:val="00584DF6"/>
    <w:rsid w:val="005859B6"/>
    <w:rsid w:val="00586DE6"/>
    <w:rsid w:val="00590B85"/>
    <w:rsid w:val="005927CB"/>
    <w:rsid w:val="005957E3"/>
    <w:rsid w:val="0059704E"/>
    <w:rsid w:val="00597BFE"/>
    <w:rsid w:val="005A533C"/>
    <w:rsid w:val="005B3DB6"/>
    <w:rsid w:val="005C206D"/>
    <w:rsid w:val="005C3A9A"/>
    <w:rsid w:val="005D410E"/>
    <w:rsid w:val="005D639E"/>
    <w:rsid w:val="005E105E"/>
    <w:rsid w:val="005E63ED"/>
    <w:rsid w:val="005F6374"/>
    <w:rsid w:val="005F7047"/>
    <w:rsid w:val="006011F4"/>
    <w:rsid w:val="006027ED"/>
    <w:rsid w:val="00604ABA"/>
    <w:rsid w:val="00617ACD"/>
    <w:rsid w:val="00624E43"/>
    <w:rsid w:val="006255C5"/>
    <w:rsid w:val="006277D4"/>
    <w:rsid w:val="00631C27"/>
    <w:rsid w:val="00631F1A"/>
    <w:rsid w:val="0063687C"/>
    <w:rsid w:val="00642AF4"/>
    <w:rsid w:val="006447F8"/>
    <w:rsid w:val="00647BCC"/>
    <w:rsid w:val="0066036C"/>
    <w:rsid w:val="00662A96"/>
    <w:rsid w:val="00662DD3"/>
    <w:rsid w:val="006718D7"/>
    <w:rsid w:val="006809DC"/>
    <w:rsid w:val="00684A6B"/>
    <w:rsid w:val="00694640"/>
    <w:rsid w:val="006A099B"/>
    <w:rsid w:val="006A4BA7"/>
    <w:rsid w:val="006B115F"/>
    <w:rsid w:val="006C299F"/>
    <w:rsid w:val="006C3DBB"/>
    <w:rsid w:val="006C703D"/>
    <w:rsid w:val="006D3CE7"/>
    <w:rsid w:val="006D4D0C"/>
    <w:rsid w:val="006E592E"/>
    <w:rsid w:val="006E7CF0"/>
    <w:rsid w:val="006F7E78"/>
    <w:rsid w:val="007035F4"/>
    <w:rsid w:val="00705BB4"/>
    <w:rsid w:val="0071048F"/>
    <w:rsid w:val="00712510"/>
    <w:rsid w:val="007163F2"/>
    <w:rsid w:val="00717FCD"/>
    <w:rsid w:val="00721E98"/>
    <w:rsid w:val="00725D52"/>
    <w:rsid w:val="00732672"/>
    <w:rsid w:val="00740BD2"/>
    <w:rsid w:val="00756D67"/>
    <w:rsid w:val="0075700C"/>
    <w:rsid w:val="0076200F"/>
    <w:rsid w:val="00764986"/>
    <w:rsid w:val="00764FE5"/>
    <w:rsid w:val="00772880"/>
    <w:rsid w:val="00786BBB"/>
    <w:rsid w:val="007A48E8"/>
    <w:rsid w:val="007C4AA9"/>
    <w:rsid w:val="007C6301"/>
    <w:rsid w:val="007C76C9"/>
    <w:rsid w:val="007D0ECC"/>
    <w:rsid w:val="007D1E3B"/>
    <w:rsid w:val="007D5E81"/>
    <w:rsid w:val="007D6C98"/>
    <w:rsid w:val="007E0D76"/>
    <w:rsid w:val="007E17B2"/>
    <w:rsid w:val="007E50EC"/>
    <w:rsid w:val="008044AC"/>
    <w:rsid w:val="0080493C"/>
    <w:rsid w:val="00805EFA"/>
    <w:rsid w:val="00813D9D"/>
    <w:rsid w:val="008141F8"/>
    <w:rsid w:val="00814242"/>
    <w:rsid w:val="008158D7"/>
    <w:rsid w:val="008205A6"/>
    <w:rsid w:val="00831879"/>
    <w:rsid w:val="00832BB3"/>
    <w:rsid w:val="00833DA6"/>
    <w:rsid w:val="00846CE9"/>
    <w:rsid w:val="00853986"/>
    <w:rsid w:val="00854B12"/>
    <w:rsid w:val="0085657C"/>
    <w:rsid w:val="00861DBD"/>
    <w:rsid w:val="00864A70"/>
    <w:rsid w:val="00876880"/>
    <w:rsid w:val="00883695"/>
    <w:rsid w:val="00886C2F"/>
    <w:rsid w:val="00892C69"/>
    <w:rsid w:val="008954CC"/>
    <w:rsid w:val="008A0A49"/>
    <w:rsid w:val="008A34DA"/>
    <w:rsid w:val="008A5335"/>
    <w:rsid w:val="008A71B4"/>
    <w:rsid w:val="008A79DB"/>
    <w:rsid w:val="008B501D"/>
    <w:rsid w:val="008C717E"/>
    <w:rsid w:val="008D1D32"/>
    <w:rsid w:val="008D2818"/>
    <w:rsid w:val="008D2ED1"/>
    <w:rsid w:val="008D70D4"/>
    <w:rsid w:val="008D7884"/>
    <w:rsid w:val="008E1A09"/>
    <w:rsid w:val="008E7ED7"/>
    <w:rsid w:val="008F379B"/>
    <w:rsid w:val="009006A8"/>
    <w:rsid w:val="0090169E"/>
    <w:rsid w:val="009067EA"/>
    <w:rsid w:val="00906BF1"/>
    <w:rsid w:val="00913ED7"/>
    <w:rsid w:val="00914B11"/>
    <w:rsid w:val="00921394"/>
    <w:rsid w:val="009331A2"/>
    <w:rsid w:val="00933696"/>
    <w:rsid w:val="00934728"/>
    <w:rsid w:val="009438A5"/>
    <w:rsid w:val="00944E53"/>
    <w:rsid w:val="00951F5B"/>
    <w:rsid w:val="00964575"/>
    <w:rsid w:val="009733A4"/>
    <w:rsid w:val="00977661"/>
    <w:rsid w:val="00980737"/>
    <w:rsid w:val="00981386"/>
    <w:rsid w:val="009817C6"/>
    <w:rsid w:val="009853EB"/>
    <w:rsid w:val="00985F8D"/>
    <w:rsid w:val="00997EDB"/>
    <w:rsid w:val="009A25A5"/>
    <w:rsid w:val="009A320E"/>
    <w:rsid w:val="009A7034"/>
    <w:rsid w:val="009B4A52"/>
    <w:rsid w:val="009B5FFC"/>
    <w:rsid w:val="009C282B"/>
    <w:rsid w:val="009C5905"/>
    <w:rsid w:val="009C631E"/>
    <w:rsid w:val="009C65D6"/>
    <w:rsid w:val="009D4DFB"/>
    <w:rsid w:val="009E540E"/>
    <w:rsid w:val="009F5554"/>
    <w:rsid w:val="009F5B9F"/>
    <w:rsid w:val="009F7C3F"/>
    <w:rsid w:val="00A2121C"/>
    <w:rsid w:val="00A21D38"/>
    <w:rsid w:val="00A23F87"/>
    <w:rsid w:val="00A33163"/>
    <w:rsid w:val="00A33917"/>
    <w:rsid w:val="00A33EBF"/>
    <w:rsid w:val="00A3665E"/>
    <w:rsid w:val="00A3773A"/>
    <w:rsid w:val="00A57EDC"/>
    <w:rsid w:val="00A67356"/>
    <w:rsid w:val="00A67C00"/>
    <w:rsid w:val="00A761F0"/>
    <w:rsid w:val="00A77799"/>
    <w:rsid w:val="00A80ACD"/>
    <w:rsid w:val="00A84829"/>
    <w:rsid w:val="00A92358"/>
    <w:rsid w:val="00A93F98"/>
    <w:rsid w:val="00A95184"/>
    <w:rsid w:val="00A95DD1"/>
    <w:rsid w:val="00AA4373"/>
    <w:rsid w:val="00AA7883"/>
    <w:rsid w:val="00AB3DC1"/>
    <w:rsid w:val="00AB43CE"/>
    <w:rsid w:val="00AB4AA9"/>
    <w:rsid w:val="00AC4755"/>
    <w:rsid w:val="00AC4A99"/>
    <w:rsid w:val="00AD011E"/>
    <w:rsid w:val="00AD0BF2"/>
    <w:rsid w:val="00AD739B"/>
    <w:rsid w:val="00AE328D"/>
    <w:rsid w:val="00AE547B"/>
    <w:rsid w:val="00AF3371"/>
    <w:rsid w:val="00AF63CD"/>
    <w:rsid w:val="00B022FD"/>
    <w:rsid w:val="00B03C81"/>
    <w:rsid w:val="00B044FF"/>
    <w:rsid w:val="00B05F1D"/>
    <w:rsid w:val="00B11522"/>
    <w:rsid w:val="00B159D6"/>
    <w:rsid w:val="00B20766"/>
    <w:rsid w:val="00B24E1F"/>
    <w:rsid w:val="00B272AC"/>
    <w:rsid w:val="00B27EF0"/>
    <w:rsid w:val="00B30147"/>
    <w:rsid w:val="00B31A31"/>
    <w:rsid w:val="00B31F70"/>
    <w:rsid w:val="00B324CE"/>
    <w:rsid w:val="00B330A7"/>
    <w:rsid w:val="00B3535B"/>
    <w:rsid w:val="00B47C02"/>
    <w:rsid w:val="00B52B1C"/>
    <w:rsid w:val="00B55846"/>
    <w:rsid w:val="00B640CA"/>
    <w:rsid w:val="00B65EC4"/>
    <w:rsid w:val="00B7405D"/>
    <w:rsid w:val="00B76C69"/>
    <w:rsid w:val="00B83745"/>
    <w:rsid w:val="00B853C8"/>
    <w:rsid w:val="00B85525"/>
    <w:rsid w:val="00B86369"/>
    <w:rsid w:val="00B912C2"/>
    <w:rsid w:val="00B9170B"/>
    <w:rsid w:val="00B9429E"/>
    <w:rsid w:val="00B95EFC"/>
    <w:rsid w:val="00BA0AC6"/>
    <w:rsid w:val="00BC23AA"/>
    <w:rsid w:val="00BC6046"/>
    <w:rsid w:val="00BC76CC"/>
    <w:rsid w:val="00BD11C0"/>
    <w:rsid w:val="00BD3B9D"/>
    <w:rsid w:val="00BD63A4"/>
    <w:rsid w:val="00BE3363"/>
    <w:rsid w:val="00BE73F2"/>
    <w:rsid w:val="00BF2D5C"/>
    <w:rsid w:val="00C038FD"/>
    <w:rsid w:val="00C13BBC"/>
    <w:rsid w:val="00C26517"/>
    <w:rsid w:val="00C33A09"/>
    <w:rsid w:val="00C37BDC"/>
    <w:rsid w:val="00C37CFF"/>
    <w:rsid w:val="00C37D28"/>
    <w:rsid w:val="00C422EA"/>
    <w:rsid w:val="00C43C3C"/>
    <w:rsid w:val="00C46295"/>
    <w:rsid w:val="00C55F09"/>
    <w:rsid w:val="00C60189"/>
    <w:rsid w:val="00C6466E"/>
    <w:rsid w:val="00C701B4"/>
    <w:rsid w:val="00C71F89"/>
    <w:rsid w:val="00C733BD"/>
    <w:rsid w:val="00C74850"/>
    <w:rsid w:val="00C8026F"/>
    <w:rsid w:val="00C8042E"/>
    <w:rsid w:val="00C83D5C"/>
    <w:rsid w:val="00CA2F80"/>
    <w:rsid w:val="00CA4272"/>
    <w:rsid w:val="00CA5398"/>
    <w:rsid w:val="00CA5B6F"/>
    <w:rsid w:val="00CB64C8"/>
    <w:rsid w:val="00CC43A0"/>
    <w:rsid w:val="00CC44B2"/>
    <w:rsid w:val="00CC45C3"/>
    <w:rsid w:val="00CD07AD"/>
    <w:rsid w:val="00CD7FAF"/>
    <w:rsid w:val="00CE207E"/>
    <w:rsid w:val="00CE3C40"/>
    <w:rsid w:val="00CF42ED"/>
    <w:rsid w:val="00CF4CD3"/>
    <w:rsid w:val="00D00DDD"/>
    <w:rsid w:val="00D101C4"/>
    <w:rsid w:val="00D1078D"/>
    <w:rsid w:val="00D131A9"/>
    <w:rsid w:val="00D1442E"/>
    <w:rsid w:val="00D275AD"/>
    <w:rsid w:val="00D31AFD"/>
    <w:rsid w:val="00D34605"/>
    <w:rsid w:val="00D456AF"/>
    <w:rsid w:val="00D5741C"/>
    <w:rsid w:val="00D60434"/>
    <w:rsid w:val="00D62A71"/>
    <w:rsid w:val="00D62DE2"/>
    <w:rsid w:val="00D80DCC"/>
    <w:rsid w:val="00D84614"/>
    <w:rsid w:val="00D87613"/>
    <w:rsid w:val="00D92416"/>
    <w:rsid w:val="00D949DA"/>
    <w:rsid w:val="00D974A3"/>
    <w:rsid w:val="00DC0CF2"/>
    <w:rsid w:val="00DC0EC0"/>
    <w:rsid w:val="00DC1ADF"/>
    <w:rsid w:val="00DC7917"/>
    <w:rsid w:val="00DD0D7B"/>
    <w:rsid w:val="00DD2F41"/>
    <w:rsid w:val="00DD54A4"/>
    <w:rsid w:val="00DD6316"/>
    <w:rsid w:val="00DE5126"/>
    <w:rsid w:val="00DF2EC2"/>
    <w:rsid w:val="00E04C12"/>
    <w:rsid w:val="00E1672F"/>
    <w:rsid w:val="00E17A2C"/>
    <w:rsid w:val="00E17AD6"/>
    <w:rsid w:val="00E17B77"/>
    <w:rsid w:val="00E2178D"/>
    <w:rsid w:val="00E267BD"/>
    <w:rsid w:val="00E4339B"/>
    <w:rsid w:val="00E46E18"/>
    <w:rsid w:val="00E53CBF"/>
    <w:rsid w:val="00E56703"/>
    <w:rsid w:val="00E56D03"/>
    <w:rsid w:val="00E62310"/>
    <w:rsid w:val="00E6326F"/>
    <w:rsid w:val="00E6606E"/>
    <w:rsid w:val="00E74001"/>
    <w:rsid w:val="00E74EF3"/>
    <w:rsid w:val="00E823E9"/>
    <w:rsid w:val="00E83722"/>
    <w:rsid w:val="00E87351"/>
    <w:rsid w:val="00E87905"/>
    <w:rsid w:val="00E97982"/>
    <w:rsid w:val="00EA398D"/>
    <w:rsid w:val="00EA61CA"/>
    <w:rsid w:val="00EB034E"/>
    <w:rsid w:val="00EB09D1"/>
    <w:rsid w:val="00EB414C"/>
    <w:rsid w:val="00ED60CD"/>
    <w:rsid w:val="00ED6365"/>
    <w:rsid w:val="00EE2A34"/>
    <w:rsid w:val="00EE3CC8"/>
    <w:rsid w:val="00EE6EAD"/>
    <w:rsid w:val="00EF4A3C"/>
    <w:rsid w:val="00EF4AD3"/>
    <w:rsid w:val="00EF62A8"/>
    <w:rsid w:val="00EF76FD"/>
    <w:rsid w:val="00F015AD"/>
    <w:rsid w:val="00F0201D"/>
    <w:rsid w:val="00F02B6E"/>
    <w:rsid w:val="00F04C18"/>
    <w:rsid w:val="00F07597"/>
    <w:rsid w:val="00F07EE8"/>
    <w:rsid w:val="00F135F5"/>
    <w:rsid w:val="00F138A0"/>
    <w:rsid w:val="00F26109"/>
    <w:rsid w:val="00F333B3"/>
    <w:rsid w:val="00F36633"/>
    <w:rsid w:val="00F37447"/>
    <w:rsid w:val="00F562AD"/>
    <w:rsid w:val="00F625C1"/>
    <w:rsid w:val="00F642CD"/>
    <w:rsid w:val="00F64C97"/>
    <w:rsid w:val="00F67089"/>
    <w:rsid w:val="00F7037B"/>
    <w:rsid w:val="00F85EDA"/>
    <w:rsid w:val="00F90205"/>
    <w:rsid w:val="00F952B1"/>
    <w:rsid w:val="00F96F61"/>
    <w:rsid w:val="00FA2AA9"/>
    <w:rsid w:val="00FB1110"/>
    <w:rsid w:val="00FC2F86"/>
    <w:rsid w:val="00FD0B1E"/>
    <w:rsid w:val="00FE3379"/>
    <w:rsid w:val="00FF02C7"/>
    <w:rsid w:val="00FF126B"/>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7089C30"/>
  <w15:chartTrackingRefBased/>
  <w15:docId w15:val="{8E03E95A-5C5B-472F-A2A9-B52B2EEB4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394"/>
    <w:pPr>
      <w:widowControl w:val="0"/>
      <w:spacing w:before="100" w:after="100"/>
    </w:pPr>
    <w:rPr>
      <w:snapToGrid w:val="0"/>
      <w:sz w:val="24"/>
      <w:lang w:val="fr-FR"/>
    </w:rPr>
  </w:style>
  <w:style w:type="paragraph" w:styleId="1">
    <w:name w:val="heading 1"/>
    <w:basedOn w:val="a"/>
    <w:next w:val="a"/>
    <w:link w:val="10"/>
    <w:autoRedefine/>
    <w:qFormat/>
    <w:rsid w:val="002B0469"/>
    <w:pPr>
      <w:keepNext/>
      <w:widowControl/>
      <w:numPr>
        <w:numId w:val="2"/>
      </w:numPr>
      <w:spacing w:before="480" w:after="240"/>
      <w:outlineLvl w:val="0"/>
    </w:pPr>
    <w:rPr>
      <w:b/>
      <w:bCs/>
      <w:caps/>
      <w:sz w:val="30"/>
      <w:szCs w:val="22"/>
      <w:lang w:val="en-GB"/>
    </w:rPr>
  </w:style>
  <w:style w:type="paragraph" w:styleId="2">
    <w:name w:val="heading 2"/>
    <w:basedOn w:val="a"/>
    <w:next w:val="a"/>
    <w:link w:val="20"/>
    <w:autoRedefine/>
    <w:qFormat/>
    <w:rsid w:val="002B0469"/>
    <w:pPr>
      <w:widowControl/>
      <w:numPr>
        <w:ilvl w:val="1"/>
        <w:numId w:val="2"/>
      </w:numPr>
      <w:spacing w:before="240" w:after="120"/>
      <w:jc w:val="both"/>
      <w:outlineLvl w:val="1"/>
    </w:pPr>
    <w:rPr>
      <w:rFonts w:ascii="Times New Roman Bold" w:hAnsi="Times New Roman Bold"/>
      <w:b/>
      <w:sz w:val="22"/>
      <w:szCs w:val="22"/>
      <w:lang w:val="x-none"/>
    </w:rPr>
  </w:style>
  <w:style w:type="paragraph" w:styleId="3">
    <w:name w:val="heading 3"/>
    <w:basedOn w:val="a"/>
    <w:next w:val="a"/>
    <w:link w:val="30"/>
    <w:qFormat/>
    <w:rsid w:val="002B0469"/>
    <w:pPr>
      <w:widowControl/>
      <w:numPr>
        <w:ilvl w:val="2"/>
        <w:numId w:val="2"/>
      </w:numPr>
      <w:spacing w:before="240" w:after="120"/>
      <w:jc w:val="both"/>
      <w:outlineLvl w:val="2"/>
    </w:pPr>
    <w:rPr>
      <w:snapToGrid/>
      <w:sz w:val="22"/>
      <w:szCs w:val="22"/>
      <w:lang w:val="x-none"/>
    </w:rPr>
  </w:style>
  <w:style w:type="paragraph" w:styleId="4">
    <w:name w:val="heading 4"/>
    <w:basedOn w:val="a"/>
    <w:next w:val="a"/>
    <w:link w:val="40"/>
    <w:autoRedefine/>
    <w:qFormat/>
    <w:rsid w:val="002B0469"/>
    <w:pPr>
      <w:widowControl/>
      <w:numPr>
        <w:ilvl w:val="3"/>
        <w:numId w:val="2"/>
      </w:numPr>
      <w:spacing w:before="120" w:after="120"/>
      <w:jc w:val="both"/>
      <w:outlineLvl w:val="3"/>
    </w:pPr>
    <w:rPr>
      <w:sz w:val="22"/>
      <w:szCs w:val="22"/>
      <w:lang w:val="en-GB"/>
    </w:rPr>
  </w:style>
  <w:style w:type="paragraph" w:styleId="5">
    <w:name w:val="heading 5"/>
    <w:basedOn w:val="a"/>
    <w:next w:val="a"/>
    <w:link w:val="50"/>
    <w:qFormat/>
    <w:rsid w:val="002B0469"/>
    <w:pPr>
      <w:widowControl/>
      <w:numPr>
        <w:ilvl w:val="4"/>
        <w:numId w:val="2"/>
      </w:numPr>
      <w:spacing w:before="240" w:after="120"/>
      <w:jc w:val="both"/>
      <w:outlineLvl w:val="4"/>
    </w:pPr>
    <w:rPr>
      <w:sz w:val="22"/>
      <w:szCs w:val="22"/>
      <w:lang w:val="en-GB"/>
    </w:rPr>
  </w:style>
  <w:style w:type="paragraph" w:styleId="6">
    <w:name w:val="heading 6"/>
    <w:basedOn w:val="a"/>
    <w:next w:val="a"/>
    <w:link w:val="60"/>
    <w:qFormat/>
    <w:rsid w:val="002B0469"/>
    <w:pPr>
      <w:widowControl/>
      <w:numPr>
        <w:ilvl w:val="5"/>
        <w:numId w:val="2"/>
      </w:numPr>
      <w:spacing w:before="240" w:after="60"/>
      <w:outlineLvl w:val="5"/>
    </w:pPr>
    <w:rPr>
      <w:rFonts w:ascii="Calibri" w:hAnsi="Calibri"/>
      <w:b/>
      <w:bCs/>
      <w:sz w:val="22"/>
      <w:szCs w:val="22"/>
      <w:lang w:val="x-none"/>
    </w:rPr>
  </w:style>
  <w:style w:type="paragraph" w:styleId="7">
    <w:name w:val="heading 7"/>
    <w:basedOn w:val="a"/>
    <w:next w:val="a"/>
    <w:link w:val="70"/>
    <w:qFormat/>
    <w:rsid w:val="002B0469"/>
    <w:pPr>
      <w:keepNext/>
      <w:widowControl/>
      <w:numPr>
        <w:ilvl w:val="6"/>
        <w:numId w:val="2"/>
      </w:numPr>
      <w:spacing w:before="0" w:after="120"/>
      <w:jc w:val="center"/>
      <w:outlineLvl w:val="6"/>
    </w:pPr>
    <w:rPr>
      <w:rFonts w:ascii="Arial" w:hAnsi="Arial"/>
      <w:b/>
      <w:color w:val="008000"/>
      <w:sz w:val="32"/>
      <w:lang w:val="en-GB"/>
    </w:rPr>
  </w:style>
  <w:style w:type="paragraph" w:styleId="8">
    <w:name w:val="heading 8"/>
    <w:basedOn w:val="a"/>
    <w:next w:val="a"/>
    <w:link w:val="80"/>
    <w:qFormat/>
    <w:rsid w:val="002B0469"/>
    <w:pPr>
      <w:keepNext/>
      <w:widowControl/>
      <w:numPr>
        <w:ilvl w:val="7"/>
        <w:numId w:val="2"/>
      </w:numPr>
      <w:spacing w:before="0" w:after="120"/>
      <w:jc w:val="both"/>
      <w:outlineLvl w:val="7"/>
    </w:pPr>
    <w:rPr>
      <w:rFonts w:ascii="Arial" w:hAnsi="Arial"/>
      <w:b/>
      <w:sz w:val="22"/>
      <w:lang w:val="en-GB"/>
    </w:rPr>
  </w:style>
  <w:style w:type="paragraph" w:styleId="9">
    <w:name w:val="heading 9"/>
    <w:basedOn w:val="a"/>
    <w:next w:val="a"/>
    <w:link w:val="90"/>
    <w:qFormat/>
    <w:rsid w:val="002B0469"/>
    <w:pPr>
      <w:widowControl/>
      <w:numPr>
        <w:ilvl w:val="8"/>
        <w:numId w:val="2"/>
      </w:numPr>
      <w:spacing w:before="240" w:after="60"/>
      <w:outlineLvl w:val="8"/>
    </w:pPr>
    <w:rPr>
      <w:rFonts w:ascii="Cambria" w:hAnsi="Cambria"/>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rPr>
  </w:style>
  <w:style w:type="paragraph" w:styleId="z-0">
    <w:name w:val="HTML Top of Form"/>
    <w:next w:val="a"/>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104D73"/>
    <w:pPr>
      <w:spacing w:before="0" w:after="0"/>
      <w:jc w:val="both"/>
    </w:pPr>
    <w:rPr>
      <w:sz w:val="20"/>
    </w:rPr>
  </w:style>
  <w:style w:type="character" w:customStyle="1" w:styleId="af0">
    <w:name w:val="Текст под линия Знак"/>
    <w:link w:val="af"/>
    <w:rsid w:val="00104D73"/>
    <w:rPr>
      <w:snapToGrid w:val="0"/>
      <w:lang w:val="fr-FR"/>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10">
    <w:name w:val="Заглавие 1 Знак"/>
    <w:link w:val="1"/>
    <w:rsid w:val="002B0469"/>
    <w:rPr>
      <w:b/>
      <w:bCs/>
      <w:caps/>
      <w:snapToGrid w:val="0"/>
      <w:sz w:val="30"/>
      <w:szCs w:val="22"/>
      <w:lang w:val="en-GB"/>
    </w:rPr>
  </w:style>
  <w:style w:type="character" w:customStyle="1" w:styleId="20">
    <w:name w:val="Заглавие 2 Знак"/>
    <w:link w:val="2"/>
    <w:rsid w:val="002B0469"/>
    <w:rPr>
      <w:rFonts w:ascii="Times New Roman Bold" w:hAnsi="Times New Roman Bold"/>
      <w:b/>
      <w:snapToGrid w:val="0"/>
      <w:sz w:val="22"/>
      <w:szCs w:val="22"/>
      <w:lang w:val="x-none"/>
    </w:rPr>
  </w:style>
  <w:style w:type="character" w:customStyle="1" w:styleId="30">
    <w:name w:val="Заглавие 3 Знак"/>
    <w:link w:val="3"/>
    <w:rsid w:val="002B0469"/>
    <w:rPr>
      <w:sz w:val="22"/>
      <w:szCs w:val="22"/>
      <w:lang w:val="x-none"/>
    </w:rPr>
  </w:style>
  <w:style w:type="character" w:customStyle="1" w:styleId="40">
    <w:name w:val="Заглавие 4 Знак"/>
    <w:link w:val="4"/>
    <w:rsid w:val="002B0469"/>
    <w:rPr>
      <w:snapToGrid w:val="0"/>
      <w:sz w:val="22"/>
      <w:szCs w:val="22"/>
      <w:lang w:val="en-GB"/>
    </w:rPr>
  </w:style>
  <w:style w:type="character" w:customStyle="1" w:styleId="50">
    <w:name w:val="Заглавие 5 Знак"/>
    <w:link w:val="5"/>
    <w:rsid w:val="002B0469"/>
    <w:rPr>
      <w:snapToGrid w:val="0"/>
      <w:sz w:val="22"/>
      <w:szCs w:val="22"/>
      <w:lang w:val="en-GB"/>
    </w:rPr>
  </w:style>
  <w:style w:type="character" w:customStyle="1" w:styleId="60">
    <w:name w:val="Заглавие 6 Знак"/>
    <w:link w:val="6"/>
    <w:rsid w:val="002B0469"/>
    <w:rPr>
      <w:rFonts w:ascii="Calibri" w:hAnsi="Calibri"/>
      <w:b/>
      <w:bCs/>
      <w:snapToGrid w:val="0"/>
      <w:sz w:val="22"/>
      <w:szCs w:val="22"/>
      <w:lang w:val="x-none"/>
    </w:rPr>
  </w:style>
  <w:style w:type="character" w:customStyle="1" w:styleId="70">
    <w:name w:val="Заглавие 7 Знак"/>
    <w:link w:val="7"/>
    <w:rsid w:val="002B0469"/>
    <w:rPr>
      <w:rFonts w:ascii="Arial" w:hAnsi="Arial"/>
      <w:b/>
      <w:snapToGrid w:val="0"/>
      <w:color w:val="008000"/>
      <w:sz w:val="32"/>
      <w:lang w:val="en-GB"/>
    </w:rPr>
  </w:style>
  <w:style w:type="character" w:customStyle="1" w:styleId="80">
    <w:name w:val="Заглавие 8 Знак"/>
    <w:link w:val="8"/>
    <w:rsid w:val="002B0469"/>
    <w:rPr>
      <w:rFonts w:ascii="Arial" w:hAnsi="Arial"/>
      <w:b/>
      <w:snapToGrid w:val="0"/>
      <w:sz w:val="22"/>
      <w:lang w:val="en-GB"/>
    </w:rPr>
  </w:style>
  <w:style w:type="character" w:customStyle="1" w:styleId="90">
    <w:name w:val="Заглавие 9 Знак"/>
    <w:link w:val="9"/>
    <w:rsid w:val="002B0469"/>
    <w:rPr>
      <w:rFonts w:ascii="Cambria" w:hAnsi="Cambria"/>
      <w:snapToGrid w:val="0"/>
      <w:sz w:val="22"/>
      <w:szCs w:val="22"/>
      <w:lang w:val="x-none"/>
    </w:rPr>
  </w:style>
  <w:style w:type="paragraph" w:styleId="af2">
    <w:name w:val="List Paragraph"/>
    <w:basedOn w:val="a"/>
    <w:uiPriority w:val="34"/>
    <w:qFormat/>
    <w:rsid w:val="007C6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38B9F-5412-4D2E-ACB5-5F92BD86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4192</Words>
  <Characters>22628</Characters>
  <Application>Microsoft Office Word</Application>
  <DocSecurity>0</DocSecurity>
  <Lines>188</Lines>
  <Paragraphs>53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26767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dc:description/>
  <cp:lastModifiedBy>gergana nikolova</cp:lastModifiedBy>
  <cp:revision>139</cp:revision>
  <cp:lastPrinted>2006-01-25T10:58:00Z</cp:lastPrinted>
  <dcterms:created xsi:type="dcterms:W3CDTF">2020-10-26T11:38:00Z</dcterms:created>
  <dcterms:modified xsi:type="dcterms:W3CDTF">2021-01-27T14:14:00Z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