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56D5DF"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28577E4A" w14:textId="294ACCE7" w:rsidR="006F5FD0" w:rsidRPr="00B33EE6" w:rsidRDefault="00095DE4">
      <w:pPr>
        <w:jc w:val="center"/>
        <w:rPr>
          <w:sz w:val="28"/>
          <w:szCs w:val="28"/>
          <w:lang w:val="en-GB"/>
        </w:rPr>
      </w:pPr>
      <w:r w:rsidRPr="001A4A16">
        <w:rPr>
          <w:b/>
          <w:sz w:val="28"/>
          <w:szCs w:val="28"/>
        </w:rPr>
        <w:t xml:space="preserve">Event Management for organization and logistics of Via </w:t>
      </w:r>
      <w:proofErr w:type="spellStart"/>
      <w:r w:rsidRPr="001A4A16">
        <w:rPr>
          <w:b/>
          <w:sz w:val="28"/>
          <w:szCs w:val="28"/>
        </w:rPr>
        <w:t>Militaris</w:t>
      </w:r>
      <w:proofErr w:type="spellEnd"/>
      <w:r w:rsidRPr="001A4A16">
        <w:rPr>
          <w:b/>
          <w:sz w:val="28"/>
          <w:szCs w:val="28"/>
        </w:rPr>
        <w:t xml:space="preserve"> project events</w:t>
      </w:r>
      <w:r w:rsidR="006F5FD0" w:rsidRPr="00B33EE6">
        <w:rPr>
          <w:rStyle w:val="Strong"/>
          <w:sz w:val="28"/>
          <w:szCs w:val="28"/>
          <w:lang w:val="en-GB"/>
        </w:rPr>
        <w:br/>
      </w:r>
      <w:r w:rsidR="006F5FD0" w:rsidRPr="00095DE4">
        <w:rPr>
          <w:rStyle w:val="Strong"/>
          <w:sz w:val="28"/>
          <w:szCs w:val="28"/>
          <w:lang w:val="en-GB"/>
        </w:rPr>
        <w:t>Location</w:t>
      </w:r>
      <w:r w:rsidRPr="00095DE4">
        <w:rPr>
          <w:rStyle w:val="Strong"/>
          <w:sz w:val="28"/>
          <w:szCs w:val="28"/>
          <w:lang w:val="en-GB"/>
        </w:rPr>
        <w:t xml:space="preserve">: </w:t>
      </w:r>
      <w:r w:rsidR="00831315" w:rsidRPr="00A15D9A">
        <w:rPr>
          <w:rStyle w:val="Strong"/>
          <w:sz w:val="28"/>
          <w:szCs w:val="28"/>
          <w:lang w:val="en-GB"/>
        </w:rPr>
        <w:t xml:space="preserve">eligible area of </w:t>
      </w:r>
      <w:proofErr w:type="spellStart"/>
      <w:r w:rsidR="00831315" w:rsidRPr="00A15D9A">
        <w:rPr>
          <w:rStyle w:val="Strong"/>
          <w:sz w:val="28"/>
          <w:szCs w:val="28"/>
          <w:lang w:val="en-GB"/>
        </w:rPr>
        <w:t>Nisava</w:t>
      </w:r>
      <w:proofErr w:type="spellEnd"/>
      <w:r w:rsidR="00831315" w:rsidRPr="00A15D9A">
        <w:rPr>
          <w:rStyle w:val="Strong"/>
          <w:sz w:val="28"/>
          <w:szCs w:val="28"/>
          <w:lang w:val="en-GB"/>
        </w:rPr>
        <w:t xml:space="preserve">, </w:t>
      </w:r>
      <w:proofErr w:type="spellStart"/>
      <w:r w:rsidR="00831315" w:rsidRPr="00A15D9A">
        <w:rPr>
          <w:rStyle w:val="Strong"/>
          <w:sz w:val="28"/>
          <w:szCs w:val="28"/>
          <w:lang w:val="en-GB"/>
        </w:rPr>
        <w:t>Pirot</w:t>
      </w:r>
      <w:proofErr w:type="spellEnd"/>
      <w:r w:rsidR="00831315" w:rsidRPr="00A15D9A">
        <w:rPr>
          <w:rStyle w:val="Strong"/>
          <w:sz w:val="28"/>
          <w:szCs w:val="28"/>
          <w:lang w:val="en-GB"/>
        </w:rPr>
        <w:t xml:space="preserve"> and </w:t>
      </w:r>
      <w:proofErr w:type="spellStart"/>
      <w:r w:rsidR="00831315" w:rsidRPr="00A15D9A">
        <w:rPr>
          <w:rStyle w:val="Strong"/>
          <w:sz w:val="28"/>
          <w:szCs w:val="28"/>
          <w:lang w:val="en-GB"/>
        </w:rPr>
        <w:t>Zajecar</w:t>
      </w:r>
      <w:proofErr w:type="spellEnd"/>
      <w:r w:rsidR="00831315" w:rsidRPr="00A15D9A">
        <w:rPr>
          <w:rStyle w:val="Strong"/>
          <w:sz w:val="28"/>
          <w:szCs w:val="28"/>
          <w:lang w:val="en-GB"/>
        </w:rPr>
        <w:t xml:space="preserve"> Districts in </w:t>
      </w:r>
      <w:r w:rsidR="00831315">
        <w:rPr>
          <w:rStyle w:val="Strong"/>
          <w:sz w:val="28"/>
          <w:szCs w:val="28"/>
          <w:lang w:val="en-GB"/>
        </w:rPr>
        <w:t xml:space="preserve">Republic of </w:t>
      </w:r>
      <w:r w:rsidR="00831315" w:rsidRPr="00A15D9A">
        <w:rPr>
          <w:rStyle w:val="Strong"/>
          <w:sz w:val="28"/>
          <w:szCs w:val="28"/>
          <w:lang w:val="en-GB"/>
        </w:rPr>
        <w:t>Serbia and Sofia</w:t>
      </w:r>
      <w:r w:rsidR="00831315">
        <w:rPr>
          <w:rStyle w:val="Strong"/>
          <w:sz w:val="28"/>
          <w:szCs w:val="28"/>
          <w:lang w:val="en-GB"/>
        </w:rPr>
        <w:t>,</w:t>
      </w:r>
      <w:r w:rsidR="00831315" w:rsidRPr="00A15D9A">
        <w:rPr>
          <w:rStyle w:val="Strong"/>
          <w:sz w:val="28"/>
          <w:szCs w:val="28"/>
          <w:lang w:val="en-GB"/>
        </w:rPr>
        <w:t xml:space="preserve"> Montana and Pernik Districts in </w:t>
      </w:r>
      <w:r w:rsidR="00831315">
        <w:rPr>
          <w:rStyle w:val="Strong"/>
          <w:sz w:val="28"/>
          <w:szCs w:val="28"/>
          <w:lang w:val="en-GB"/>
        </w:rPr>
        <w:t xml:space="preserve">Republic of </w:t>
      </w:r>
      <w:r w:rsidR="00831315" w:rsidRPr="00A15D9A">
        <w:rPr>
          <w:rStyle w:val="Strong"/>
          <w:sz w:val="28"/>
          <w:szCs w:val="28"/>
          <w:lang w:val="en-GB"/>
        </w:rPr>
        <w:t>Bulgaria</w:t>
      </w:r>
      <w:r>
        <w:rPr>
          <w:rStyle w:val="Strong"/>
          <w:sz w:val="28"/>
          <w:szCs w:val="28"/>
          <w:lang w:val="en-GB"/>
        </w:rPr>
        <w:t xml:space="preserve"> </w:t>
      </w:r>
    </w:p>
    <w:p w14:paraId="3F94B227" w14:textId="77777777" w:rsidR="00571687" w:rsidRPr="00B33EE6" w:rsidRDefault="00571687" w:rsidP="00584BF4">
      <w:pPr>
        <w:ind w:left="709" w:hanging="349"/>
        <w:outlineLvl w:val="0"/>
        <w:rPr>
          <w:rStyle w:val="Strong"/>
          <w:sz w:val="22"/>
          <w:szCs w:val="22"/>
          <w:lang w:val="en-GB"/>
        </w:rPr>
      </w:pPr>
    </w:p>
    <w:p w14:paraId="468350C5"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36BE5DCC" w14:textId="77777777" w:rsidR="006F5FD0" w:rsidRPr="00B33EE6" w:rsidRDefault="00095DE4">
      <w:pPr>
        <w:pStyle w:val="Blockquote"/>
        <w:rPr>
          <w:i/>
          <w:sz w:val="22"/>
          <w:szCs w:val="22"/>
          <w:lang w:val="en-GB"/>
        </w:rPr>
      </w:pPr>
      <w:r w:rsidRPr="00095DE4">
        <w:rPr>
          <w:rStyle w:val="Emphasis"/>
          <w:i w:val="0"/>
          <w:sz w:val="22"/>
          <w:szCs w:val="22"/>
          <w:lang w:val="en-GB"/>
        </w:rPr>
        <w:t>CB007.2.12.032 – 2019 – 1</w:t>
      </w:r>
    </w:p>
    <w:p w14:paraId="402138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558E9939" w14:textId="77777777" w:rsidR="006F5FD0" w:rsidRPr="00B33EE6" w:rsidRDefault="00AD1E4D" w:rsidP="00C100E2">
      <w:pPr>
        <w:pStyle w:val="Blockquote"/>
        <w:ind w:left="0" w:firstLine="360"/>
        <w:jc w:val="both"/>
        <w:rPr>
          <w:sz w:val="22"/>
          <w:szCs w:val="22"/>
          <w:lang w:val="en-GB"/>
        </w:rPr>
      </w:pPr>
      <w:r w:rsidRPr="00C100E2">
        <w:rPr>
          <w:sz w:val="22"/>
          <w:szCs w:val="22"/>
          <w:lang w:val="en-GB"/>
        </w:rPr>
        <w:t>Simplified</w:t>
      </w:r>
      <w:r w:rsidR="00584BF4" w:rsidRPr="00B33EE6">
        <w:rPr>
          <w:sz w:val="22"/>
          <w:szCs w:val="22"/>
          <w:lang w:val="en-GB"/>
        </w:rPr>
        <w:t xml:space="preserve"> </w:t>
      </w:r>
    </w:p>
    <w:p w14:paraId="5A9908FB"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3BFA66E4" w14:textId="77777777" w:rsidR="00971962" w:rsidRPr="00B33EE6" w:rsidRDefault="00C100E2" w:rsidP="00B33EE6">
      <w:pPr>
        <w:pStyle w:val="PRAGHeading2"/>
        <w:numPr>
          <w:ilvl w:val="0"/>
          <w:numId w:val="0"/>
        </w:numPr>
        <w:ind w:left="357" w:right="357"/>
        <w:rPr>
          <w:lang w:val="en-GB"/>
        </w:rPr>
      </w:pPr>
      <w:r w:rsidRPr="00C100E2">
        <w:rPr>
          <w:lang w:val="en-GB"/>
        </w:rPr>
        <w:t>Interreg - IPA CBC Programme Bulgaria - Serbia (CCI No: 2014TC16I5CB007)</w:t>
      </w:r>
    </w:p>
    <w:p w14:paraId="104A0D4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3EC051C" w14:textId="77777777" w:rsidR="00502217" w:rsidRPr="00B33EE6" w:rsidRDefault="00C100E2" w:rsidP="00502217">
      <w:pPr>
        <w:pStyle w:val="Blockquote"/>
        <w:jc w:val="both"/>
        <w:rPr>
          <w:sz w:val="22"/>
          <w:szCs w:val="22"/>
          <w:lang w:val="en-GB"/>
        </w:rPr>
      </w:pPr>
      <w:r>
        <w:rPr>
          <w:rStyle w:val="Emphasis"/>
          <w:i w:val="0"/>
          <w:sz w:val="22"/>
          <w:szCs w:val="22"/>
          <w:lang w:val="en-GB"/>
        </w:rPr>
        <w:t xml:space="preserve">Priority Axis Tourism  </w:t>
      </w:r>
    </w:p>
    <w:p w14:paraId="108CAC03"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7FAFA256" w14:textId="331E02FD" w:rsidR="006F5FD0" w:rsidRDefault="00C100E2" w:rsidP="00B33EE6">
      <w:pPr>
        <w:ind w:left="357" w:right="357"/>
        <w:jc w:val="both"/>
        <w:rPr>
          <w:rStyle w:val="Emphasis"/>
          <w:i w:val="0"/>
          <w:sz w:val="22"/>
          <w:szCs w:val="22"/>
          <w:lang w:val="en-GB"/>
        </w:rPr>
      </w:pPr>
      <w:r>
        <w:rPr>
          <w:rStyle w:val="Emphasis"/>
          <w:i w:val="0"/>
          <w:sz w:val="22"/>
          <w:szCs w:val="22"/>
          <w:lang w:val="en-GB"/>
        </w:rPr>
        <w:t xml:space="preserve">NGO Association </w:t>
      </w:r>
      <w:r w:rsidR="00FE236F">
        <w:rPr>
          <w:rStyle w:val="Emphasis"/>
          <w:i w:val="0"/>
          <w:sz w:val="22"/>
          <w:szCs w:val="22"/>
          <w:lang w:val="en-GB"/>
        </w:rPr>
        <w:t>Agency for e</w:t>
      </w:r>
      <w:r>
        <w:rPr>
          <w:rStyle w:val="Emphasis"/>
          <w:i w:val="0"/>
          <w:sz w:val="22"/>
          <w:szCs w:val="22"/>
          <w:lang w:val="en-GB"/>
        </w:rPr>
        <w:t xml:space="preserve">conomic development </w:t>
      </w:r>
      <w:proofErr w:type="spellStart"/>
      <w:r>
        <w:rPr>
          <w:rStyle w:val="Emphasis"/>
          <w:i w:val="0"/>
          <w:sz w:val="22"/>
          <w:szCs w:val="22"/>
          <w:lang w:val="en-GB"/>
        </w:rPr>
        <w:t>Kostinbrod</w:t>
      </w:r>
      <w:proofErr w:type="spellEnd"/>
    </w:p>
    <w:p w14:paraId="0FF3C6BD" w14:textId="77777777" w:rsidR="006F5FD0" w:rsidRPr="00B33EE6" w:rsidRDefault="00B05BBC">
      <w:pPr>
        <w:rPr>
          <w:sz w:val="22"/>
          <w:szCs w:val="22"/>
          <w:lang w:val="en-GB"/>
        </w:rPr>
      </w:pPr>
      <w:r>
        <w:rPr>
          <w:snapToGrid/>
          <w:sz w:val="22"/>
          <w:szCs w:val="22"/>
          <w:lang w:val="en-GB"/>
        </w:rPr>
        <w:pict w14:anchorId="7299894A">
          <v:line id="_x0000_s1030" alt="" style="position:absolute;z-index:1;mso-wrap-edited:f;mso-width-percent:0;mso-height-percent:0;mso-width-percent:0;mso-height-percent:0" from="0,12pt" to="468pt,12.05pt" o:allowincell="f" strokecolor="#d4d4d4" strokeweight="1.75pt">
            <v:shadow on="t" origin=",32385f" offset="0,-1pt"/>
          </v:line>
        </w:pict>
      </w:r>
    </w:p>
    <w:p w14:paraId="161C0021"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B3D9FB2"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162441DD" w14:textId="77777777" w:rsidR="006F5FD0" w:rsidRPr="00B33EE6" w:rsidRDefault="006F5FD0">
      <w:pPr>
        <w:pStyle w:val="Blockquote"/>
        <w:jc w:val="both"/>
        <w:rPr>
          <w:i/>
          <w:sz w:val="22"/>
          <w:szCs w:val="22"/>
          <w:lang w:val="en-GB"/>
        </w:rPr>
      </w:pPr>
      <w:r w:rsidRPr="00C100E2">
        <w:rPr>
          <w:rStyle w:val="Emphasis"/>
          <w:i w:val="0"/>
          <w:sz w:val="22"/>
          <w:szCs w:val="22"/>
          <w:lang w:val="en-GB"/>
        </w:rPr>
        <w:t>Global price</w:t>
      </w:r>
    </w:p>
    <w:p w14:paraId="07FF78BB"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6EC74F4F" w14:textId="77777777" w:rsidR="006F5FD0" w:rsidRDefault="00C100E2">
      <w:pPr>
        <w:pStyle w:val="Blockquote"/>
        <w:jc w:val="both"/>
        <w:rPr>
          <w:sz w:val="22"/>
          <w:szCs w:val="22"/>
        </w:rPr>
      </w:pPr>
      <w:r w:rsidRPr="00BA4C60">
        <w:rPr>
          <w:sz w:val="22"/>
          <w:szCs w:val="22"/>
        </w:rPr>
        <w:t xml:space="preserve">The subject of this contract is to provide </w:t>
      </w:r>
      <w:r w:rsidRPr="00D00670">
        <w:rPr>
          <w:sz w:val="22"/>
          <w:szCs w:val="22"/>
        </w:rPr>
        <w:t xml:space="preserve">professional and timely </w:t>
      </w:r>
      <w:r w:rsidRPr="00EC23E7">
        <w:rPr>
          <w:sz w:val="22"/>
          <w:szCs w:val="22"/>
        </w:rPr>
        <w:t>services</w:t>
      </w:r>
      <w:r>
        <w:rPr>
          <w:sz w:val="22"/>
          <w:szCs w:val="22"/>
        </w:rPr>
        <w:t xml:space="preserve"> for </w:t>
      </w:r>
      <w:r w:rsidRPr="0086600D">
        <w:rPr>
          <w:sz w:val="22"/>
          <w:szCs w:val="22"/>
        </w:rPr>
        <w:t xml:space="preserve">organization </w:t>
      </w:r>
      <w:r>
        <w:rPr>
          <w:sz w:val="22"/>
          <w:szCs w:val="22"/>
        </w:rPr>
        <w:t xml:space="preserve">and </w:t>
      </w:r>
      <w:r w:rsidRPr="00BA4C60">
        <w:rPr>
          <w:sz w:val="22"/>
          <w:szCs w:val="22"/>
        </w:rPr>
        <w:t>coordinat</w:t>
      </w:r>
      <w:r>
        <w:rPr>
          <w:sz w:val="22"/>
          <w:szCs w:val="22"/>
        </w:rPr>
        <w:t>ion of</w:t>
      </w:r>
      <w:r w:rsidRPr="00BA4C60">
        <w:rPr>
          <w:sz w:val="22"/>
          <w:szCs w:val="22"/>
        </w:rPr>
        <w:t xml:space="preserve"> the following</w:t>
      </w:r>
      <w:r>
        <w:rPr>
          <w:sz w:val="22"/>
          <w:szCs w:val="22"/>
        </w:rPr>
        <w:t xml:space="preserve"> project</w:t>
      </w:r>
      <w:r w:rsidRPr="00BA4C60">
        <w:rPr>
          <w:sz w:val="22"/>
          <w:szCs w:val="22"/>
        </w:rPr>
        <w:t xml:space="preserve"> events:</w:t>
      </w:r>
      <w:r>
        <w:rPr>
          <w:sz w:val="22"/>
          <w:szCs w:val="22"/>
        </w:rPr>
        <w:t xml:space="preserve"> </w:t>
      </w:r>
    </w:p>
    <w:p w14:paraId="2C25427B" w14:textId="5E99B0F6" w:rsidR="0099013F" w:rsidRPr="00FD3059" w:rsidRDefault="0099013F" w:rsidP="0099013F">
      <w:pPr>
        <w:pStyle w:val="Blockquote"/>
        <w:numPr>
          <w:ilvl w:val="0"/>
          <w:numId w:val="2"/>
        </w:numPr>
        <w:ind w:right="26"/>
        <w:jc w:val="both"/>
        <w:rPr>
          <w:sz w:val="22"/>
          <w:szCs w:val="22"/>
          <w:lang w:val="en-GB"/>
        </w:rPr>
      </w:pPr>
      <w:r>
        <w:rPr>
          <w:sz w:val="22"/>
          <w:szCs w:val="22"/>
          <w:lang w:val="en-GB"/>
        </w:rPr>
        <w:t>O</w:t>
      </w:r>
      <w:r w:rsidRPr="00FD3059">
        <w:rPr>
          <w:sz w:val="22"/>
          <w:szCs w:val="22"/>
          <w:lang w:val="en-GB"/>
        </w:rPr>
        <w:t xml:space="preserve">ne (1) 2 days Joint Initial Workshop under Activity 2 for 30 participants </w:t>
      </w:r>
      <w:r>
        <w:rPr>
          <w:sz w:val="22"/>
          <w:szCs w:val="22"/>
        </w:rPr>
        <w:t xml:space="preserve">and accommodation </w:t>
      </w:r>
      <w:r>
        <w:rPr>
          <w:sz w:val="22"/>
          <w:szCs w:val="22"/>
        </w:rPr>
        <w:lastRenderedPageBreak/>
        <w:t xml:space="preserve">cost for two project team members </w:t>
      </w:r>
      <w:r>
        <w:rPr>
          <w:sz w:val="22"/>
          <w:szCs w:val="22"/>
          <w:lang w:val="bg-BG"/>
        </w:rPr>
        <w:t>(</w:t>
      </w:r>
      <w:r>
        <w:rPr>
          <w:sz w:val="22"/>
          <w:szCs w:val="22"/>
        </w:rPr>
        <w:t xml:space="preserve">PTM) </w:t>
      </w:r>
      <w:r w:rsidRPr="00FD3059">
        <w:rPr>
          <w:sz w:val="22"/>
          <w:szCs w:val="22"/>
          <w:lang w:val="en-GB"/>
        </w:rPr>
        <w:t xml:space="preserve">on the territory of Pernik, Republic of Bulgaria; </w:t>
      </w:r>
    </w:p>
    <w:p w14:paraId="2C74412D" w14:textId="763777FB" w:rsidR="0099013F" w:rsidRDefault="0099013F" w:rsidP="0099013F">
      <w:pPr>
        <w:pStyle w:val="Blockquote"/>
        <w:numPr>
          <w:ilvl w:val="0"/>
          <w:numId w:val="2"/>
        </w:numPr>
        <w:ind w:right="26"/>
        <w:jc w:val="both"/>
        <w:rPr>
          <w:sz w:val="22"/>
          <w:szCs w:val="22"/>
          <w:lang w:val="en-GB"/>
        </w:rPr>
      </w:pPr>
      <w:r w:rsidRPr="0099013F">
        <w:rPr>
          <w:sz w:val="22"/>
          <w:szCs w:val="22"/>
          <w:lang w:val="en-GB"/>
        </w:rPr>
        <w:t>O</w:t>
      </w:r>
      <w:r w:rsidRPr="00FD3059">
        <w:rPr>
          <w:sz w:val="22"/>
          <w:szCs w:val="22"/>
          <w:lang w:val="en-GB"/>
        </w:rPr>
        <w:t xml:space="preserve">ne (1) </w:t>
      </w:r>
      <w:r w:rsidR="004575E7" w:rsidRPr="004726EE">
        <w:rPr>
          <w:sz w:val="22"/>
          <w:szCs w:val="22"/>
        </w:rPr>
        <w:t>Public Private People Partnerships (PPPP)</w:t>
      </w:r>
      <w:r w:rsidR="004575E7" w:rsidRPr="00C118C6">
        <w:rPr>
          <w:sz w:val="22"/>
          <w:szCs w:val="22"/>
        </w:rPr>
        <w:t xml:space="preserve"> workshop </w:t>
      </w:r>
      <w:r w:rsidRPr="00FD3059">
        <w:rPr>
          <w:sz w:val="22"/>
          <w:szCs w:val="22"/>
          <w:lang w:val="en-GB"/>
        </w:rPr>
        <w:t xml:space="preserve">under Activity </w:t>
      </w:r>
      <w:r>
        <w:rPr>
          <w:sz w:val="22"/>
          <w:szCs w:val="22"/>
          <w:lang w:val="en-GB"/>
        </w:rPr>
        <w:t>3</w:t>
      </w:r>
      <w:r w:rsidRPr="00FD3059">
        <w:rPr>
          <w:sz w:val="22"/>
          <w:szCs w:val="22"/>
          <w:lang w:val="en-GB"/>
        </w:rPr>
        <w:t xml:space="preserve"> for </w:t>
      </w:r>
      <w:r>
        <w:rPr>
          <w:sz w:val="22"/>
          <w:szCs w:val="22"/>
          <w:lang w:val="en-GB"/>
        </w:rPr>
        <w:t>2</w:t>
      </w:r>
      <w:r w:rsidRPr="00FD3059">
        <w:rPr>
          <w:sz w:val="22"/>
          <w:szCs w:val="22"/>
          <w:lang w:val="en-GB"/>
        </w:rPr>
        <w:t xml:space="preserve">0 participants on the territory of Pernik, Republic of Bulgaria;  </w:t>
      </w:r>
    </w:p>
    <w:p w14:paraId="02F522AF" w14:textId="0495D801" w:rsidR="0099013F" w:rsidRDefault="0099013F" w:rsidP="0099013F">
      <w:pPr>
        <w:pStyle w:val="Blockquote"/>
        <w:numPr>
          <w:ilvl w:val="0"/>
          <w:numId w:val="2"/>
        </w:numPr>
        <w:ind w:right="26"/>
        <w:jc w:val="both"/>
        <w:rPr>
          <w:sz w:val="22"/>
          <w:szCs w:val="22"/>
          <w:lang w:val="en-GB"/>
        </w:rPr>
      </w:pPr>
      <w:r w:rsidRPr="0099013F">
        <w:rPr>
          <w:sz w:val="22"/>
          <w:szCs w:val="22"/>
          <w:lang w:val="en-GB"/>
        </w:rPr>
        <w:t>T</w:t>
      </w:r>
      <w:r>
        <w:rPr>
          <w:sz w:val="22"/>
          <w:szCs w:val="22"/>
          <w:lang w:val="en-GB"/>
        </w:rPr>
        <w:t xml:space="preserve">ravel journey </w:t>
      </w:r>
      <w:r>
        <w:rPr>
          <w:sz w:val="22"/>
          <w:szCs w:val="22"/>
        </w:rPr>
        <w:t>for 20 participants (</w:t>
      </w:r>
      <w:r w:rsidRPr="009D52FE">
        <w:rPr>
          <w:sz w:val="22"/>
          <w:szCs w:val="22"/>
        </w:rPr>
        <w:t>route Pernik</w:t>
      </w:r>
      <w:r>
        <w:rPr>
          <w:sz w:val="22"/>
          <w:szCs w:val="22"/>
        </w:rPr>
        <w:t>, BG –</w:t>
      </w:r>
      <w:r>
        <w:rPr>
          <w:sz w:val="22"/>
          <w:szCs w:val="22"/>
          <w:lang w:val="bg-BG"/>
        </w:rPr>
        <w:t xml:space="preserve"> </w:t>
      </w:r>
      <w:proofErr w:type="spellStart"/>
      <w:r>
        <w:rPr>
          <w:sz w:val="22"/>
          <w:szCs w:val="22"/>
        </w:rPr>
        <w:t>Dimitrovgrad</w:t>
      </w:r>
      <w:proofErr w:type="spellEnd"/>
      <w:r>
        <w:rPr>
          <w:sz w:val="22"/>
          <w:szCs w:val="22"/>
        </w:rPr>
        <w:t xml:space="preserve">, SR – </w:t>
      </w:r>
      <w:proofErr w:type="spellStart"/>
      <w:r w:rsidRPr="009D52FE">
        <w:rPr>
          <w:sz w:val="22"/>
          <w:szCs w:val="22"/>
        </w:rPr>
        <w:t>Pirot</w:t>
      </w:r>
      <w:proofErr w:type="spellEnd"/>
      <w:r>
        <w:rPr>
          <w:sz w:val="22"/>
          <w:szCs w:val="22"/>
        </w:rPr>
        <w:t>, SR</w:t>
      </w:r>
      <w:r w:rsidRPr="009D52FE">
        <w:rPr>
          <w:sz w:val="22"/>
          <w:szCs w:val="22"/>
        </w:rPr>
        <w:t>, round trip</w:t>
      </w:r>
      <w:r>
        <w:rPr>
          <w:sz w:val="22"/>
          <w:szCs w:val="22"/>
        </w:rPr>
        <w:t xml:space="preserve">) </w:t>
      </w:r>
      <w:r>
        <w:rPr>
          <w:sz w:val="22"/>
          <w:szCs w:val="22"/>
          <w:lang w:val="en-GB"/>
        </w:rPr>
        <w:t xml:space="preserve">and accommodation costs for two PTM for </w:t>
      </w:r>
      <w:r w:rsidRPr="00046A5C">
        <w:rPr>
          <w:sz w:val="22"/>
          <w:szCs w:val="22"/>
          <w:lang w:val="en-GB"/>
        </w:rPr>
        <w:t>Tourism Service Providers</w:t>
      </w:r>
      <w:r>
        <w:rPr>
          <w:sz w:val="22"/>
          <w:szCs w:val="22"/>
          <w:lang w:val="en-GB"/>
        </w:rPr>
        <w:t>’</w:t>
      </w:r>
      <w:r>
        <w:rPr>
          <w:sz w:val="22"/>
          <w:szCs w:val="22"/>
          <w:lang w:val="bg-BG"/>
        </w:rPr>
        <w:t xml:space="preserve"> (</w:t>
      </w:r>
      <w:r>
        <w:rPr>
          <w:sz w:val="22"/>
          <w:szCs w:val="22"/>
          <w:lang w:val="en-GB"/>
        </w:rPr>
        <w:t>TSP</w:t>
      </w:r>
      <w:r>
        <w:rPr>
          <w:sz w:val="22"/>
          <w:szCs w:val="22"/>
          <w:lang w:val="bg-BG"/>
        </w:rPr>
        <w:t>)</w:t>
      </w:r>
      <w:r>
        <w:rPr>
          <w:sz w:val="22"/>
          <w:szCs w:val="22"/>
          <w:lang w:val="en-GB"/>
        </w:rPr>
        <w:t xml:space="preserve"> </w:t>
      </w:r>
      <w:r w:rsidRPr="00FD3059">
        <w:rPr>
          <w:sz w:val="22"/>
          <w:szCs w:val="22"/>
          <w:lang w:val="en-GB"/>
        </w:rPr>
        <w:t xml:space="preserve">Workshop meeting under Activity </w:t>
      </w:r>
      <w:r>
        <w:rPr>
          <w:sz w:val="22"/>
          <w:szCs w:val="22"/>
          <w:lang w:val="en-GB"/>
        </w:rPr>
        <w:t>4</w:t>
      </w:r>
      <w:r w:rsidRPr="00FD3059">
        <w:rPr>
          <w:sz w:val="22"/>
          <w:szCs w:val="22"/>
          <w:lang w:val="en-GB"/>
        </w:rPr>
        <w:t xml:space="preserve"> on the territory of </w:t>
      </w:r>
      <w:proofErr w:type="spellStart"/>
      <w:r w:rsidRPr="00FD3059">
        <w:rPr>
          <w:sz w:val="22"/>
          <w:szCs w:val="22"/>
          <w:lang w:val="en-GB"/>
        </w:rPr>
        <w:t>P</w:t>
      </w:r>
      <w:r>
        <w:rPr>
          <w:sz w:val="22"/>
          <w:szCs w:val="22"/>
          <w:lang w:val="en-GB"/>
        </w:rPr>
        <w:t>irot</w:t>
      </w:r>
      <w:proofErr w:type="spellEnd"/>
      <w:r w:rsidRPr="00FD3059">
        <w:rPr>
          <w:sz w:val="22"/>
          <w:szCs w:val="22"/>
          <w:lang w:val="en-GB"/>
        </w:rPr>
        <w:t xml:space="preserve">, Republic of </w:t>
      </w:r>
      <w:r>
        <w:rPr>
          <w:sz w:val="22"/>
          <w:szCs w:val="22"/>
          <w:lang w:val="en-GB"/>
        </w:rPr>
        <w:t>Serbia</w:t>
      </w:r>
      <w:r w:rsidRPr="00FD3059">
        <w:rPr>
          <w:sz w:val="22"/>
          <w:szCs w:val="22"/>
          <w:lang w:val="en-GB"/>
        </w:rPr>
        <w:t>;</w:t>
      </w:r>
      <w:r>
        <w:rPr>
          <w:sz w:val="22"/>
          <w:szCs w:val="22"/>
          <w:lang w:val="en-GB"/>
        </w:rPr>
        <w:t xml:space="preserve"> </w:t>
      </w:r>
    </w:p>
    <w:p w14:paraId="1140440E" w14:textId="5CC0E0C3" w:rsidR="0099013F" w:rsidRPr="00947EAA" w:rsidRDefault="0099013F" w:rsidP="0099013F">
      <w:pPr>
        <w:pStyle w:val="Blockquote"/>
        <w:numPr>
          <w:ilvl w:val="0"/>
          <w:numId w:val="2"/>
        </w:numPr>
        <w:ind w:right="26"/>
        <w:jc w:val="both"/>
        <w:rPr>
          <w:sz w:val="22"/>
          <w:szCs w:val="22"/>
          <w:lang w:val="en-GB"/>
        </w:rPr>
      </w:pPr>
      <w:r w:rsidRPr="0099013F">
        <w:rPr>
          <w:sz w:val="22"/>
          <w:szCs w:val="22"/>
          <w:lang w:val="en-GB"/>
        </w:rPr>
        <w:t>O</w:t>
      </w:r>
      <w:r w:rsidRPr="00FD3059">
        <w:rPr>
          <w:sz w:val="22"/>
          <w:szCs w:val="22"/>
          <w:lang w:val="en-GB"/>
        </w:rPr>
        <w:t xml:space="preserve">ne (1) 2 days Joint Workshop </w:t>
      </w:r>
      <w:r w:rsidR="00333D98" w:rsidRPr="00333D98">
        <w:rPr>
          <w:sz w:val="22"/>
          <w:szCs w:val="22"/>
          <w:lang w:val="en-GB"/>
        </w:rPr>
        <w:t xml:space="preserve">for creation of the sustainable action plan </w:t>
      </w:r>
      <w:r w:rsidRPr="00FD3059">
        <w:rPr>
          <w:sz w:val="22"/>
          <w:szCs w:val="22"/>
          <w:lang w:val="en-GB"/>
        </w:rPr>
        <w:t xml:space="preserve">under Activity </w:t>
      </w:r>
      <w:r>
        <w:rPr>
          <w:sz w:val="22"/>
          <w:szCs w:val="22"/>
          <w:lang w:val="en-GB"/>
        </w:rPr>
        <w:t>5</w:t>
      </w:r>
      <w:r w:rsidRPr="00FD3059">
        <w:rPr>
          <w:sz w:val="22"/>
          <w:szCs w:val="22"/>
          <w:lang w:val="en-GB"/>
        </w:rPr>
        <w:t xml:space="preserve"> for 30 participants </w:t>
      </w:r>
      <w:r>
        <w:rPr>
          <w:sz w:val="22"/>
          <w:szCs w:val="22"/>
        </w:rPr>
        <w:t>and accommodation costs for two PTM</w:t>
      </w:r>
      <w:r>
        <w:rPr>
          <w:sz w:val="22"/>
          <w:szCs w:val="22"/>
          <w:lang w:val="bg-BG"/>
        </w:rPr>
        <w:t xml:space="preserve"> </w:t>
      </w:r>
      <w:r w:rsidRPr="00947EAA">
        <w:rPr>
          <w:sz w:val="22"/>
          <w:szCs w:val="22"/>
          <w:lang w:val="en-GB"/>
        </w:rPr>
        <w:t>on the territory of Pernik, Republic of Bulgaria;</w:t>
      </w:r>
    </w:p>
    <w:p w14:paraId="697F9491" w14:textId="41A3AEB7" w:rsidR="0099013F" w:rsidRDefault="0099013F" w:rsidP="0099013F">
      <w:pPr>
        <w:pStyle w:val="Blockquote"/>
        <w:numPr>
          <w:ilvl w:val="0"/>
          <w:numId w:val="2"/>
        </w:numPr>
        <w:ind w:right="26"/>
        <w:jc w:val="both"/>
        <w:rPr>
          <w:sz w:val="22"/>
          <w:szCs w:val="22"/>
          <w:lang w:val="en-GB"/>
        </w:rPr>
      </w:pPr>
      <w:r w:rsidRPr="0099013F">
        <w:rPr>
          <w:sz w:val="22"/>
          <w:szCs w:val="22"/>
          <w:lang w:val="en-GB"/>
        </w:rPr>
        <w:t>O</w:t>
      </w:r>
      <w:r w:rsidRPr="00FD3059">
        <w:rPr>
          <w:sz w:val="22"/>
          <w:szCs w:val="22"/>
          <w:lang w:val="en-GB"/>
        </w:rPr>
        <w:t xml:space="preserve">ne (1) </w:t>
      </w:r>
      <w:r>
        <w:rPr>
          <w:sz w:val="22"/>
          <w:szCs w:val="22"/>
          <w:lang w:val="en-GB"/>
        </w:rPr>
        <w:t>4</w:t>
      </w:r>
      <w:r w:rsidRPr="00FD3059">
        <w:rPr>
          <w:sz w:val="22"/>
          <w:szCs w:val="22"/>
          <w:lang w:val="en-GB"/>
        </w:rPr>
        <w:t xml:space="preserve"> days </w:t>
      </w:r>
      <w:r w:rsidRPr="00346C49">
        <w:rPr>
          <w:sz w:val="22"/>
          <w:szCs w:val="22"/>
          <w:lang w:val="en-GB"/>
        </w:rPr>
        <w:t xml:space="preserve">Joint promotional Via </w:t>
      </w:r>
      <w:proofErr w:type="spellStart"/>
      <w:r w:rsidRPr="00346C49">
        <w:rPr>
          <w:sz w:val="22"/>
          <w:szCs w:val="22"/>
          <w:lang w:val="en-GB"/>
        </w:rPr>
        <w:t>Militaris</w:t>
      </w:r>
      <w:proofErr w:type="spellEnd"/>
      <w:r w:rsidRPr="00346C49">
        <w:rPr>
          <w:sz w:val="22"/>
          <w:szCs w:val="22"/>
          <w:lang w:val="en-GB"/>
        </w:rPr>
        <w:t xml:space="preserve"> tour</w:t>
      </w:r>
      <w:r w:rsidRPr="00FD3059">
        <w:rPr>
          <w:sz w:val="22"/>
          <w:szCs w:val="22"/>
          <w:lang w:val="en-GB"/>
        </w:rPr>
        <w:t xml:space="preserve"> under Activity </w:t>
      </w:r>
      <w:r>
        <w:rPr>
          <w:sz w:val="22"/>
          <w:szCs w:val="22"/>
          <w:lang w:val="en-GB"/>
        </w:rPr>
        <w:t xml:space="preserve">6 </w:t>
      </w:r>
      <w:r w:rsidRPr="00FD3059">
        <w:rPr>
          <w:sz w:val="22"/>
          <w:szCs w:val="22"/>
          <w:lang w:val="en-GB"/>
        </w:rPr>
        <w:t xml:space="preserve">for </w:t>
      </w:r>
      <w:r>
        <w:rPr>
          <w:sz w:val="22"/>
          <w:szCs w:val="22"/>
          <w:lang w:val="en-GB"/>
        </w:rPr>
        <w:t>20</w:t>
      </w:r>
      <w:r w:rsidRPr="00FD3059">
        <w:rPr>
          <w:sz w:val="22"/>
          <w:szCs w:val="22"/>
          <w:lang w:val="en-GB"/>
        </w:rPr>
        <w:t xml:space="preserve"> </w:t>
      </w:r>
      <w:r>
        <w:rPr>
          <w:sz w:val="22"/>
          <w:szCs w:val="22"/>
          <w:lang w:val="en-GB"/>
        </w:rPr>
        <w:t xml:space="preserve">TPS </w:t>
      </w:r>
      <w:r w:rsidRPr="00FD3059">
        <w:rPr>
          <w:sz w:val="22"/>
          <w:szCs w:val="22"/>
          <w:lang w:val="en-GB"/>
        </w:rPr>
        <w:t xml:space="preserve">participants </w:t>
      </w:r>
      <w:r>
        <w:rPr>
          <w:sz w:val="22"/>
          <w:szCs w:val="22"/>
        </w:rPr>
        <w:t>and accommodation costs for one PTM</w:t>
      </w:r>
      <w:r>
        <w:rPr>
          <w:sz w:val="22"/>
          <w:szCs w:val="22"/>
          <w:lang w:val="bg-BG"/>
        </w:rPr>
        <w:t xml:space="preserve"> </w:t>
      </w:r>
      <w:r>
        <w:rPr>
          <w:sz w:val="22"/>
          <w:szCs w:val="22"/>
        </w:rPr>
        <w:t>(</w:t>
      </w:r>
      <w:r w:rsidRPr="009D52FE">
        <w:rPr>
          <w:sz w:val="22"/>
          <w:szCs w:val="22"/>
        </w:rPr>
        <w:t xml:space="preserve">route </w:t>
      </w:r>
      <w:r w:rsidRPr="00151D82">
        <w:rPr>
          <w:sz w:val="22"/>
          <w:szCs w:val="22"/>
        </w:rPr>
        <w:t xml:space="preserve">in eligible territories </w:t>
      </w:r>
      <w:r>
        <w:rPr>
          <w:sz w:val="22"/>
          <w:szCs w:val="22"/>
        </w:rPr>
        <w:t xml:space="preserve">of </w:t>
      </w:r>
      <w:proofErr w:type="spellStart"/>
      <w:r w:rsidRPr="00151D82">
        <w:rPr>
          <w:sz w:val="22"/>
          <w:szCs w:val="22"/>
        </w:rPr>
        <w:t>Nisava</w:t>
      </w:r>
      <w:proofErr w:type="spellEnd"/>
      <w:r w:rsidRPr="00151D82">
        <w:rPr>
          <w:sz w:val="22"/>
          <w:szCs w:val="22"/>
        </w:rPr>
        <w:t xml:space="preserve">, </w:t>
      </w:r>
      <w:proofErr w:type="spellStart"/>
      <w:r w:rsidRPr="00151D82">
        <w:rPr>
          <w:sz w:val="22"/>
          <w:szCs w:val="22"/>
        </w:rPr>
        <w:t>Pirot</w:t>
      </w:r>
      <w:proofErr w:type="spellEnd"/>
      <w:r w:rsidRPr="00151D82">
        <w:rPr>
          <w:sz w:val="22"/>
          <w:szCs w:val="22"/>
        </w:rPr>
        <w:t xml:space="preserve"> and </w:t>
      </w:r>
      <w:proofErr w:type="spellStart"/>
      <w:r w:rsidRPr="00151D82">
        <w:rPr>
          <w:sz w:val="22"/>
          <w:szCs w:val="22"/>
        </w:rPr>
        <w:t>Zajecar</w:t>
      </w:r>
      <w:proofErr w:type="spellEnd"/>
      <w:r w:rsidRPr="00151D82">
        <w:rPr>
          <w:sz w:val="22"/>
          <w:szCs w:val="22"/>
        </w:rPr>
        <w:t xml:space="preserve"> Districts in Serbia and Sofia, Montana and Pernik Districts</w:t>
      </w:r>
      <w:r>
        <w:rPr>
          <w:sz w:val="22"/>
          <w:szCs w:val="22"/>
        </w:rPr>
        <w:t xml:space="preserve"> in Bulgaria</w:t>
      </w:r>
      <w:r w:rsidRPr="009D52FE">
        <w:rPr>
          <w:sz w:val="22"/>
          <w:szCs w:val="22"/>
        </w:rPr>
        <w:t>, round trip</w:t>
      </w:r>
      <w:r>
        <w:rPr>
          <w:sz w:val="22"/>
          <w:szCs w:val="22"/>
        </w:rPr>
        <w:t>)</w:t>
      </w:r>
      <w:r>
        <w:rPr>
          <w:sz w:val="22"/>
          <w:szCs w:val="22"/>
          <w:lang w:val="en-GB"/>
        </w:rPr>
        <w:t xml:space="preserve">;  </w:t>
      </w:r>
    </w:p>
    <w:p w14:paraId="5E737A75" w14:textId="4A56CB55" w:rsidR="0099013F" w:rsidRPr="00802AB5" w:rsidRDefault="0099013F" w:rsidP="0099013F">
      <w:pPr>
        <w:pStyle w:val="Blockquote"/>
        <w:numPr>
          <w:ilvl w:val="0"/>
          <w:numId w:val="2"/>
        </w:numPr>
        <w:ind w:right="26"/>
        <w:jc w:val="both"/>
        <w:rPr>
          <w:sz w:val="22"/>
          <w:szCs w:val="22"/>
          <w:lang w:val="en-GB"/>
        </w:rPr>
      </w:pPr>
      <w:r>
        <w:rPr>
          <w:sz w:val="22"/>
          <w:szCs w:val="22"/>
          <w:lang w:val="en-GB"/>
        </w:rPr>
        <w:t xml:space="preserve">Travel journey for 40 participants </w:t>
      </w:r>
      <w:r>
        <w:rPr>
          <w:sz w:val="22"/>
          <w:szCs w:val="22"/>
        </w:rPr>
        <w:t>(</w:t>
      </w:r>
      <w:r w:rsidRPr="009D52FE">
        <w:rPr>
          <w:sz w:val="22"/>
          <w:szCs w:val="22"/>
        </w:rPr>
        <w:t xml:space="preserve">route </w:t>
      </w:r>
      <w:r w:rsidRPr="00151D82">
        <w:rPr>
          <w:sz w:val="22"/>
          <w:szCs w:val="22"/>
        </w:rPr>
        <w:t>Pernik</w:t>
      </w:r>
      <w:r>
        <w:rPr>
          <w:sz w:val="22"/>
          <w:szCs w:val="22"/>
        </w:rPr>
        <w:t xml:space="preserve">, BG – </w:t>
      </w:r>
      <w:proofErr w:type="spellStart"/>
      <w:r>
        <w:rPr>
          <w:sz w:val="22"/>
          <w:szCs w:val="22"/>
        </w:rPr>
        <w:t>Dimitrovgrad</w:t>
      </w:r>
      <w:proofErr w:type="spellEnd"/>
      <w:r>
        <w:rPr>
          <w:sz w:val="22"/>
          <w:szCs w:val="22"/>
        </w:rPr>
        <w:t xml:space="preserve"> </w:t>
      </w:r>
      <w:r w:rsidRPr="00151D82">
        <w:rPr>
          <w:sz w:val="22"/>
          <w:szCs w:val="22"/>
        </w:rPr>
        <w:t xml:space="preserve">– </w:t>
      </w:r>
      <w:proofErr w:type="spellStart"/>
      <w:r>
        <w:rPr>
          <w:sz w:val="22"/>
          <w:szCs w:val="22"/>
        </w:rPr>
        <w:t>Pirot</w:t>
      </w:r>
      <w:proofErr w:type="spellEnd"/>
      <w:r w:rsidRPr="00151D82">
        <w:rPr>
          <w:sz w:val="22"/>
          <w:szCs w:val="22"/>
        </w:rPr>
        <w:t xml:space="preserve"> </w:t>
      </w:r>
      <w:r>
        <w:rPr>
          <w:sz w:val="22"/>
          <w:szCs w:val="22"/>
        </w:rPr>
        <w:t xml:space="preserve">– </w:t>
      </w:r>
      <w:proofErr w:type="spellStart"/>
      <w:r w:rsidRPr="00151D82">
        <w:rPr>
          <w:sz w:val="22"/>
          <w:szCs w:val="22"/>
        </w:rPr>
        <w:t>Niš</w:t>
      </w:r>
      <w:proofErr w:type="spellEnd"/>
      <w:r>
        <w:rPr>
          <w:sz w:val="22"/>
          <w:szCs w:val="22"/>
        </w:rPr>
        <w:t xml:space="preserve">, SR – </w:t>
      </w:r>
      <w:r w:rsidRPr="009D52FE">
        <w:rPr>
          <w:sz w:val="22"/>
          <w:szCs w:val="22"/>
        </w:rPr>
        <w:t>round trip</w:t>
      </w:r>
      <w:r>
        <w:rPr>
          <w:sz w:val="22"/>
          <w:szCs w:val="22"/>
        </w:rPr>
        <w:t xml:space="preserve">) </w:t>
      </w:r>
      <w:r>
        <w:rPr>
          <w:sz w:val="22"/>
          <w:szCs w:val="22"/>
          <w:lang w:val="en-GB"/>
        </w:rPr>
        <w:t>and</w:t>
      </w:r>
      <w:r>
        <w:rPr>
          <w:sz w:val="22"/>
          <w:szCs w:val="22"/>
        </w:rPr>
        <w:t xml:space="preserve"> </w:t>
      </w:r>
      <w:r>
        <w:rPr>
          <w:sz w:val="22"/>
          <w:szCs w:val="22"/>
          <w:lang w:val="en-GB"/>
        </w:rPr>
        <w:t xml:space="preserve">accommodation costs for 3 PTM for final </w:t>
      </w:r>
      <w:r w:rsidRPr="00346C49">
        <w:rPr>
          <w:sz w:val="22"/>
          <w:szCs w:val="22"/>
          <w:lang w:val="en-GB"/>
        </w:rPr>
        <w:t>and press conference</w:t>
      </w:r>
      <w:r>
        <w:rPr>
          <w:sz w:val="22"/>
          <w:szCs w:val="22"/>
          <w:lang w:val="en-GB"/>
        </w:rPr>
        <w:t xml:space="preserve"> </w:t>
      </w:r>
      <w:r w:rsidRPr="00FD3059">
        <w:rPr>
          <w:sz w:val="22"/>
          <w:szCs w:val="22"/>
          <w:lang w:val="en-GB"/>
        </w:rPr>
        <w:t xml:space="preserve">under Activity </w:t>
      </w:r>
      <w:r>
        <w:rPr>
          <w:sz w:val="22"/>
          <w:szCs w:val="22"/>
          <w:lang w:val="en-GB"/>
        </w:rPr>
        <w:t>6</w:t>
      </w:r>
      <w:r w:rsidRPr="00FD3059">
        <w:rPr>
          <w:sz w:val="22"/>
          <w:szCs w:val="22"/>
          <w:lang w:val="en-GB"/>
        </w:rPr>
        <w:t xml:space="preserve"> on the territory of </w:t>
      </w:r>
      <w:proofErr w:type="spellStart"/>
      <w:r w:rsidRPr="00346C49">
        <w:rPr>
          <w:sz w:val="22"/>
          <w:szCs w:val="22"/>
          <w:lang w:val="en-GB"/>
        </w:rPr>
        <w:t>Niš</w:t>
      </w:r>
      <w:proofErr w:type="spellEnd"/>
      <w:r w:rsidRPr="00FD3059">
        <w:rPr>
          <w:sz w:val="22"/>
          <w:szCs w:val="22"/>
          <w:lang w:val="en-GB"/>
        </w:rPr>
        <w:t xml:space="preserve">, Republic of </w:t>
      </w:r>
      <w:r>
        <w:rPr>
          <w:sz w:val="22"/>
          <w:szCs w:val="22"/>
          <w:lang w:val="en-GB"/>
        </w:rPr>
        <w:t xml:space="preserve">Serbia </w:t>
      </w:r>
    </w:p>
    <w:p w14:paraId="599FB55A"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EFD3056" w14:textId="77777777" w:rsidR="00E9047D" w:rsidRPr="00B33EE6" w:rsidRDefault="00364564" w:rsidP="00584BF4">
      <w:pPr>
        <w:ind w:left="709" w:hanging="349"/>
        <w:outlineLvl w:val="0"/>
        <w:rPr>
          <w:rStyle w:val="Emphasis"/>
          <w:i w:val="0"/>
          <w:sz w:val="22"/>
          <w:szCs w:val="22"/>
          <w:lang w:val="en-GB"/>
        </w:rPr>
      </w:pPr>
      <w:r w:rsidRPr="00C100E2">
        <w:rPr>
          <w:rStyle w:val="Emphasis"/>
          <w:i w:val="0"/>
          <w:sz w:val="22"/>
          <w:szCs w:val="22"/>
          <w:lang w:val="en-GB"/>
        </w:rPr>
        <w:t>O</w:t>
      </w:r>
      <w:r w:rsidR="00DA0ABA" w:rsidRPr="00C100E2">
        <w:rPr>
          <w:rStyle w:val="Emphasis"/>
          <w:i w:val="0"/>
          <w:sz w:val="22"/>
          <w:szCs w:val="22"/>
          <w:lang w:val="en-GB"/>
        </w:rPr>
        <w:t>ne lot only</w:t>
      </w:r>
    </w:p>
    <w:p w14:paraId="3234351A"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17E5E277" w14:textId="77777777" w:rsidR="00971962" w:rsidRPr="00553AD6" w:rsidRDefault="00C100E2" w:rsidP="00971962">
      <w:pPr>
        <w:pStyle w:val="Blockquote"/>
        <w:jc w:val="both"/>
        <w:rPr>
          <w:color w:val="000000"/>
          <w:sz w:val="22"/>
          <w:szCs w:val="22"/>
          <w:lang w:val="en-GB"/>
        </w:rPr>
      </w:pPr>
      <w:r w:rsidRPr="00553AD6">
        <w:rPr>
          <w:rFonts w:eastAsia="Calibri"/>
          <w:b/>
          <w:bCs/>
          <w:color w:val="000000"/>
          <w:sz w:val="22"/>
        </w:rPr>
        <w:t xml:space="preserve">EUR </w:t>
      </w:r>
      <w:r w:rsidRPr="00553AD6">
        <w:rPr>
          <w:rFonts w:eastAsia="Calibri"/>
          <w:b/>
          <w:bCs/>
          <w:color w:val="000000"/>
          <w:sz w:val="22"/>
          <w:lang w:val="bg-BG"/>
        </w:rPr>
        <w:t xml:space="preserve"> 22</w:t>
      </w:r>
      <w:r w:rsidRPr="00553AD6">
        <w:rPr>
          <w:rFonts w:eastAsia="Calibri"/>
          <w:b/>
          <w:bCs/>
          <w:color w:val="000000"/>
          <w:sz w:val="22"/>
        </w:rPr>
        <w:t xml:space="preserve"> </w:t>
      </w:r>
      <w:r w:rsidRPr="00553AD6">
        <w:rPr>
          <w:rFonts w:eastAsia="Calibri"/>
          <w:b/>
          <w:bCs/>
          <w:color w:val="000000"/>
          <w:sz w:val="22"/>
          <w:lang w:val="bg-BG"/>
        </w:rPr>
        <w:t>797.08</w:t>
      </w:r>
      <w:r w:rsidRPr="00553AD6">
        <w:rPr>
          <w:rFonts w:eastAsia="Calibri"/>
          <w:b/>
          <w:bCs/>
          <w:color w:val="000000"/>
          <w:sz w:val="22"/>
        </w:rPr>
        <w:t xml:space="preserve"> (VAT excluded)</w:t>
      </w:r>
    </w:p>
    <w:p w14:paraId="692DB5A9" w14:textId="77777777" w:rsidR="006F5FD0" w:rsidRPr="00B33EE6" w:rsidRDefault="00B05BBC">
      <w:pPr>
        <w:pStyle w:val="Blockquote"/>
        <w:jc w:val="both"/>
        <w:rPr>
          <w:sz w:val="22"/>
          <w:szCs w:val="22"/>
          <w:lang w:val="en-GB"/>
        </w:rPr>
      </w:pPr>
      <w:r>
        <w:rPr>
          <w:snapToGrid/>
          <w:sz w:val="22"/>
          <w:szCs w:val="22"/>
          <w:lang w:val="en-GB"/>
        </w:rPr>
        <w:pict w14:anchorId="12C0C02C">
          <v:line id="_x0000_s1029" alt="" style="position:absolute;left:0;text-align:left;z-index:2;mso-wrap-edited:f;mso-width-percent:0;mso-height-percent:0;mso-width-percent:0;mso-height-percent:0" from="-1.05pt,17.55pt" to="466.95pt,17.6pt" o:allowincell="f" strokecolor="#d4d4d4" strokeweight="1.75pt">
            <v:shadow on="t" origin=",32385f" offset="0,-1pt"/>
          </v:line>
        </w:pict>
      </w:r>
    </w:p>
    <w:p w14:paraId="199F0AB5"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056A945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Eligibility</w:t>
      </w:r>
    </w:p>
    <w:p w14:paraId="7C4A3684" w14:textId="1019D34E" w:rsidR="00B766F9" w:rsidRDefault="00D93082" w:rsidP="007B4C5E">
      <w:pPr>
        <w:widowControl/>
        <w:spacing w:before="360" w:after="360"/>
        <w:ind w:left="426"/>
        <w:jc w:val="both"/>
        <w:rPr>
          <w:sz w:val="22"/>
          <w:szCs w:val="22"/>
          <w:lang w:val="en-GB"/>
        </w:rPr>
      </w:pPr>
      <w:r w:rsidRPr="00B95B9B">
        <w:rPr>
          <w:sz w:val="22"/>
          <w:szCs w:val="22"/>
          <w:lang w:val="en-GB"/>
        </w:rPr>
        <w:t xml:space="preserve">Participation is open to all </w:t>
      </w:r>
      <w:r w:rsidRPr="00B95B9B">
        <w:rPr>
          <w:rFonts w:eastAsia="Calibri" w:cs="Arial"/>
          <w:sz w:val="22"/>
          <w:szCs w:val="22"/>
          <w:lang w:val="en-GB"/>
        </w:rPr>
        <w:t xml:space="preserve">natural persons who are nationals of and </w:t>
      </w:r>
      <w:r w:rsidRPr="00B95B9B">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B95B9B">
        <w:rPr>
          <w:rFonts w:eastAsia="Calibri" w:cs="Arial"/>
          <w:bCs/>
          <w:sz w:val="22"/>
          <w:szCs w:val="22"/>
          <w:lang w:val="en-GB"/>
        </w:rPr>
        <w:t xml:space="preserve">the Regulation </w:t>
      </w:r>
      <w:r w:rsidRPr="00B95B9B">
        <w:rPr>
          <w:sz w:val="22"/>
          <w:szCs w:val="22"/>
          <w:lang w:val="en-GB"/>
        </w:rPr>
        <w:t xml:space="preserve">(EU) </w:t>
      </w:r>
      <w:r w:rsidR="00FE4E4B" w:rsidRPr="00B95B9B">
        <w:rPr>
          <w:sz w:val="22"/>
          <w:szCs w:val="22"/>
          <w:lang w:val="en-GB"/>
        </w:rPr>
        <w:t>No </w:t>
      </w:r>
      <w:r w:rsidRPr="00B95B9B">
        <w:rPr>
          <w:rFonts w:eastAsia="MS Mincho"/>
          <w:noProof/>
          <w:sz w:val="22"/>
          <w:szCs w:val="22"/>
          <w:lang w:val="en-GB" w:eastAsia="ja-JP"/>
        </w:rPr>
        <w:t xml:space="preserve">236/2014 </w:t>
      </w:r>
      <w:r w:rsidRPr="00B95B9B">
        <w:rPr>
          <w:rFonts w:eastAsia="Calibri" w:cs="Arial"/>
          <w:bCs/>
          <w:sz w:val="22"/>
          <w:szCs w:val="22"/>
          <w:lang w:val="en-GB"/>
        </w:rPr>
        <w:t xml:space="preserve">establishing common rules and procedures for the implementation of the Union's instruments for external action (CIR) </w:t>
      </w:r>
      <w:r w:rsidRPr="00B95B9B">
        <w:rPr>
          <w:sz w:val="22"/>
          <w:szCs w:val="22"/>
          <w:lang w:val="en-GB"/>
        </w:rPr>
        <w:t xml:space="preserve">for the applicable </w:t>
      </w:r>
      <w:r w:rsidR="00FE4E4B" w:rsidRPr="00B95B9B">
        <w:rPr>
          <w:sz w:val="22"/>
          <w:szCs w:val="22"/>
          <w:lang w:val="en-GB"/>
        </w:rPr>
        <w:t>i</w:t>
      </w:r>
      <w:r w:rsidRPr="00B95B9B">
        <w:rPr>
          <w:sz w:val="22"/>
          <w:szCs w:val="22"/>
          <w:lang w:val="en-GB"/>
        </w:rPr>
        <w:t>nstrument under which the contract is financed (see also heading 2</w:t>
      </w:r>
      <w:r w:rsidR="00A504E1" w:rsidRPr="00B95B9B">
        <w:rPr>
          <w:sz w:val="22"/>
          <w:szCs w:val="22"/>
          <w:lang w:val="en-GB"/>
        </w:rPr>
        <w:t>3</w:t>
      </w:r>
      <w:r w:rsidRPr="00B95B9B">
        <w:rPr>
          <w:sz w:val="22"/>
          <w:szCs w:val="22"/>
          <w:lang w:val="en-GB"/>
        </w:rPr>
        <w:t xml:space="preserve"> below)</w:t>
      </w:r>
      <w:r w:rsidRPr="00B95B9B">
        <w:rPr>
          <w:rFonts w:eastAsia="Calibri" w:cs="Arial"/>
          <w:sz w:val="22"/>
          <w:szCs w:val="22"/>
          <w:lang w:val="en-GB"/>
        </w:rPr>
        <w:t xml:space="preserve">. </w:t>
      </w:r>
      <w:r w:rsidRPr="00B95B9B">
        <w:rPr>
          <w:sz w:val="22"/>
          <w:szCs w:val="22"/>
          <w:lang w:val="en-GB"/>
        </w:rPr>
        <w:t>Participation is also open to international organisations.</w:t>
      </w:r>
      <w:bookmarkStart w:id="0" w:name="_DV_M201"/>
      <w:bookmarkEnd w:id="0"/>
      <w:r w:rsidRPr="00B95B9B">
        <w:rPr>
          <w:rFonts w:eastAsia="Calibri" w:cs="Arial"/>
          <w:noProof/>
          <w:sz w:val="22"/>
          <w:szCs w:val="22"/>
          <w:lang w:val="en-GB"/>
        </w:rPr>
        <w:t xml:space="preserve"> </w:t>
      </w:r>
      <w:r w:rsidRPr="00B95B9B">
        <w:rPr>
          <w:sz w:val="22"/>
          <w:szCs w:val="22"/>
          <w:lang w:val="en-GB"/>
        </w:rPr>
        <w:t xml:space="preserve"> </w:t>
      </w:r>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1"/>
      <w:bookmarkEnd w:id="2"/>
      <w:bookmarkEnd w:id="3"/>
      <w:bookmarkEnd w:id="4"/>
      <w:bookmarkEnd w:id="5"/>
      <w:bookmarkEnd w:id="6"/>
      <w:bookmarkEnd w:id="7"/>
      <w:bookmarkEnd w:id="8"/>
      <w:bookmarkEnd w:id="9"/>
      <w:bookmarkEnd w:id="10"/>
      <w:bookmarkEnd w:id="11"/>
      <w:bookmarkEnd w:id="12"/>
      <w:bookmarkEnd w:id="13"/>
    </w:p>
    <w:p w14:paraId="7D7A821A"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lastRenderedPageBreak/>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5FDE0B31"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43AD64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103AE3E5" w14:textId="77777777" w:rsidR="006F5FD0" w:rsidRPr="00B95B9B" w:rsidRDefault="006F5FD0">
      <w:pPr>
        <w:pStyle w:val="Blockquote"/>
        <w:jc w:val="both"/>
        <w:rPr>
          <w:sz w:val="22"/>
          <w:szCs w:val="22"/>
          <w:lang w:val="en-GB"/>
        </w:rPr>
      </w:pPr>
      <w:r w:rsidRPr="00B95B9B">
        <w:rPr>
          <w:sz w:val="22"/>
          <w:szCs w:val="22"/>
          <w:lang w:val="en-GB"/>
        </w:rPr>
        <w:t xml:space="preserve">As part of the </w:t>
      </w:r>
      <w:r w:rsidR="00632BDC" w:rsidRPr="00B95B9B">
        <w:rPr>
          <w:sz w:val="22"/>
          <w:szCs w:val="22"/>
          <w:lang w:val="en-GB"/>
        </w:rPr>
        <w:t>tender</w:t>
      </w:r>
      <w:r w:rsidRPr="00B95B9B">
        <w:rPr>
          <w:sz w:val="22"/>
          <w:szCs w:val="22"/>
          <w:lang w:val="en-GB"/>
        </w:rPr>
        <w:t xml:space="preserve">, </w:t>
      </w:r>
      <w:r w:rsidR="00632BDC" w:rsidRPr="00B95B9B">
        <w:rPr>
          <w:sz w:val="22"/>
          <w:szCs w:val="22"/>
          <w:lang w:val="en-GB"/>
        </w:rPr>
        <w:t>tenderers</w:t>
      </w:r>
      <w:r w:rsidRPr="00B95B9B">
        <w:rPr>
          <w:sz w:val="22"/>
          <w:szCs w:val="22"/>
          <w:lang w:val="en-GB"/>
        </w:rPr>
        <w:t xml:space="preserve"> must</w:t>
      </w:r>
      <w:r w:rsidR="00750FF8" w:rsidRPr="00B95B9B">
        <w:rPr>
          <w:sz w:val="22"/>
          <w:szCs w:val="22"/>
          <w:lang w:val="en-GB"/>
        </w:rPr>
        <w:t xml:space="preserve"> submit a </w:t>
      </w:r>
      <w:r w:rsidR="000F0F6C" w:rsidRPr="00B95B9B">
        <w:rPr>
          <w:sz w:val="22"/>
          <w:szCs w:val="22"/>
          <w:lang w:val="en-GB"/>
        </w:rPr>
        <w:t xml:space="preserve">signed </w:t>
      </w:r>
      <w:r w:rsidR="002D266E" w:rsidRPr="00B95B9B">
        <w:rPr>
          <w:sz w:val="22"/>
          <w:szCs w:val="22"/>
          <w:lang w:val="en-GB"/>
        </w:rPr>
        <w:t>declaration</w:t>
      </w:r>
      <w:r w:rsidR="000F0F6C" w:rsidRPr="00B95B9B">
        <w:rPr>
          <w:sz w:val="22"/>
          <w:szCs w:val="22"/>
          <w:lang w:val="en-GB"/>
        </w:rPr>
        <w:t>,</w:t>
      </w:r>
      <w:r w:rsidR="00750FF8" w:rsidRPr="00B95B9B">
        <w:rPr>
          <w:sz w:val="22"/>
          <w:szCs w:val="22"/>
          <w:lang w:val="en-GB"/>
        </w:rPr>
        <w:t xml:space="preserve"> </w:t>
      </w:r>
      <w:r w:rsidR="000F0F6C" w:rsidRPr="00B95B9B">
        <w:rPr>
          <w:sz w:val="22"/>
          <w:szCs w:val="22"/>
          <w:lang w:val="en-GB"/>
        </w:rPr>
        <w:t xml:space="preserve">included in the </w:t>
      </w:r>
      <w:r w:rsidR="00632BDC" w:rsidRPr="00B95B9B">
        <w:rPr>
          <w:sz w:val="22"/>
          <w:szCs w:val="22"/>
          <w:lang w:val="en-GB"/>
        </w:rPr>
        <w:t>tender</w:t>
      </w:r>
      <w:r w:rsidR="000F0F6C" w:rsidRPr="00B95B9B">
        <w:rPr>
          <w:sz w:val="22"/>
          <w:szCs w:val="22"/>
          <w:lang w:val="en-GB"/>
        </w:rPr>
        <w:t xml:space="preserve"> form, </w:t>
      </w:r>
      <w:r w:rsidR="00750FF8" w:rsidRPr="00B95B9B">
        <w:rPr>
          <w:sz w:val="22"/>
          <w:szCs w:val="22"/>
          <w:lang w:val="en-GB"/>
        </w:rPr>
        <w:t>to the effect that they are not in any of</w:t>
      </w:r>
      <w:r w:rsidRPr="00B95B9B">
        <w:rPr>
          <w:sz w:val="22"/>
          <w:szCs w:val="22"/>
          <w:lang w:val="en-GB"/>
        </w:rPr>
        <w:t xml:space="preserve"> </w:t>
      </w:r>
      <w:r w:rsidR="00A433A6" w:rsidRPr="00B95B9B">
        <w:rPr>
          <w:sz w:val="22"/>
          <w:szCs w:val="22"/>
          <w:lang w:val="en-GB"/>
        </w:rPr>
        <w:t xml:space="preserve">the </w:t>
      </w:r>
      <w:r w:rsidR="00750FF8" w:rsidRPr="00B95B9B">
        <w:rPr>
          <w:sz w:val="22"/>
          <w:szCs w:val="22"/>
          <w:lang w:val="en-GB"/>
        </w:rPr>
        <w:t xml:space="preserve">exclusion situations </w:t>
      </w:r>
      <w:r w:rsidR="00A433A6" w:rsidRPr="00B95B9B">
        <w:rPr>
          <w:sz w:val="22"/>
          <w:szCs w:val="22"/>
          <w:lang w:val="en-GB"/>
        </w:rPr>
        <w:t>listed</w:t>
      </w:r>
      <w:r w:rsidR="00750FF8" w:rsidRPr="00B95B9B">
        <w:rPr>
          <w:sz w:val="22"/>
          <w:szCs w:val="22"/>
          <w:lang w:val="en-GB"/>
        </w:rPr>
        <w:t xml:space="preserve"> </w:t>
      </w:r>
      <w:r w:rsidRPr="00B95B9B">
        <w:rPr>
          <w:sz w:val="22"/>
          <w:szCs w:val="22"/>
          <w:lang w:val="en-GB"/>
        </w:rPr>
        <w:t>in Section 2.</w:t>
      </w:r>
      <w:r w:rsidR="00513F0F" w:rsidRPr="00B95B9B">
        <w:rPr>
          <w:sz w:val="22"/>
          <w:szCs w:val="22"/>
          <w:lang w:val="en-GB"/>
        </w:rPr>
        <w:t>6</w:t>
      </w:r>
      <w:r w:rsidRPr="00B95B9B">
        <w:rPr>
          <w:sz w:val="22"/>
          <w:szCs w:val="22"/>
          <w:lang w:val="en-GB"/>
        </w:rPr>
        <w:t>.</w:t>
      </w:r>
      <w:r w:rsidR="00513F0F" w:rsidRPr="00B95B9B">
        <w:rPr>
          <w:sz w:val="22"/>
          <w:szCs w:val="22"/>
          <w:lang w:val="en-GB"/>
        </w:rPr>
        <w:t>10</w:t>
      </w:r>
      <w:r w:rsidR="001C21A2" w:rsidRPr="00B95B9B">
        <w:rPr>
          <w:sz w:val="22"/>
          <w:szCs w:val="22"/>
          <w:lang w:val="en-GB"/>
        </w:rPr>
        <w:t>.</w:t>
      </w:r>
      <w:r w:rsidR="00513F0F" w:rsidRPr="00B95B9B">
        <w:rPr>
          <w:sz w:val="22"/>
          <w:szCs w:val="22"/>
          <w:lang w:val="en-GB"/>
        </w:rPr>
        <w:t>1.</w:t>
      </w:r>
      <w:r w:rsidRPr="00B95B9B">
        <w:rPr>
          <w:sz w:val="22"/>
          <w:szCs w:val="22"/>
          <w:lang w:val="en-GB"/>
        </w:rPr>
        <w:t xml:space="preserve"> of the </w:t>
      </w:r>
      <w:r w:rsidR="00513F0F" w:rsidRPr="00B95B9B">
        <w:rPr>
          <w:sz w:val="22"/>
          <w:szCs w:val="22"/>
          <w:lang w:val="en-GB"/>
        </w:rPr>
        <w:t>p</w:t>
      </w:r>
      <w:r w:rsidRPr="00B95B9B">
        <w:rPr>
          <w:sz w:val="22"/>
          <w:szCs w:val="22"/>
          <w:lang w:val="en-GB"/>
        </w:rPr>
        <w:t xml:space="preserve">ractical </w:t>
      </w:r>
      <w:r w:rsidR="00513F0F" w:rsidRPr="00B95B9B">
        <w:rPr>
          <w:sz w:val="22"/>
          <w:szCs w:val="22"/>
          <w:lang w:val="en-GB"/>
        </w:rPr>
        <w:t>g</w:t>
      </w:r>
      <w:r w:rsidRPr="00B95B9B">
        <w:rPr>
          <w:sz w:val="22"/>
          <w:szCs w:val="22"/>
          <w:lang w:val="en-GB"/>
        </w:rPr>
        <w:t>uide</w:t>
      </w:r>
      <w:r w:rsidR="000C1101" w:rsidRPr="00B95B9B">
        <w:rPr>
          <w:sz w:val="22"/>
          <w:szCs w:val="22"/>
          <w:lang w:val="en-GB"/>
        </w:rPr>
        <w:t>.</w:t>
      </w:r>
      <w:r w:rsidRPr="00B95B9B">
        <w:rPr>
          <w:sz w:val="22"/>
          <w:szCs w:val="22"/>
          <w:lang w:val="en-GB"/>
        </w:rPr>
        <w:t xml:space="preserve"> </w:t>
      </w:r>
    </w:p>
    <w:p w14:paraId="3E457EF7" w14:textId="77777777" w:rsidR="0039147E" w:rsidRPr="00B33EE6" w:rsidRDefault="00C03AF5">
      <w:pPr>
        <w:pStyle w:val="Blockquote"/>
        <w:jc w:val="both"/>
        <w:rPr>
          <w:sz w:val="22"/>
          <w:szCs w:val="22"/>
          <w:lang w:val="en-GB"/>
        </w:rPr>
      </w:pPr>
      <w:r w:rsidRPr="00B95B9B">
        <w:rPr>
          <w:sz w:val="22"/>
          <w:szCs w:val="22"/>
          <w:lang w:val="en-GB"/>
        </w:rPr>
        <w:t>Tenderer</w:t>
      </w:r>
      <w:r w:rsidR="0039147E" w:rsidRPr="00B95B9B">
        <w:rPr>
          <w:sz w:val="22"/>
          <w:szCs w:val="22"/>
          <w:lang w:val="en-GB"/>
        </w:rPr>
        <w:t xml:space="preserve"> included in the lists of EU restrictive measures (see Section 2.</w:t>
      </w:r>
      <w:r w:rsidR="00513F0F" w:rsidRPr="00B95B9B">
        <w:rPr>
          <w:sz w:val="22"/>
          <w:szCs w:val="22"/>
          <w:lang w:val="en-GB"/>
        </w:rPr>
        <w:t>4</w:t>
      </w:r>
      <w:r w:rsidR="0039147E" w:rsidRPr="00B95B9B">
        <w:rPr>
          <w:sz w:val="22"/>
          <w:szCs w:val="22"/>
          <w:lang w:val="en-GB"/>
        </w:rPr>
        <w:t>. of the PRAG) at the moment of the award decision cannot be awarded the contract.</w:t>
      </w:r>
      <w:r w:rsidR="0039147E">
        <w:rPr>
          <w:sz w:val="22"/>
          <w:szCs w:val="22"/>
          <w:lang w:val="en-GB"/>
        </w:rPr>
        <w:t xml:space="preserve"> </w:t>
      </w:r>
    </w:p>
    <w:p w14:paraId="0B249B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165F1854"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593506DC" w14:textId="77777777" w:rsidR="006F5FD0" w:rsidRPr="00B33EE6" w:rsidRDefault="00B05BBC">
      <w:pPr>
        <w:keepNext/>
        <w:jc w:val="center"/>
        <w:rPr>
          <w:sz w:val="28"/>
          <w:szCs w:val="28"/>
          <w:lang w:val="en-GB"/>
        </w:rPr>
      </w:pPr>
      <w:r>
        <w:rPr>
          <w:snapToGrid/>
          <w:sz w:val="22"/>
          <w:szCs w:val="22"/>
          <w:lang w:val="en-GB"/>
        </w:rPr>
        <w:pict w14:anchorId="169E50EE">
          <v:line id="_x0000_s1028" alt="" style="position:absolute;left:0;text-align:left;z-index:3;mso-wrap-edited:f;mso-width-percent:0;mso-height-percent:0;mso-width-percent:0;mso-height-percent:0" from="1.5pt,2.05pt" to="469.5pt,2.1pt" o:allowincell="f" strokecolor="#d4d4d4" strokeweight="1.75pt">
            <v:shadow on="t" origin=",32385f" offset="0,-1pt"/>
          </v:line>
        </w:pict>
      </w:r>
      <w:r w:rsidR="006F5FD0" w:rsidRPr="00B33EE6">
        <w:rPr>
          <w:rStyle w:val="Strong"/>
          <w:sz w:val="28"/>
          <w:szCs w:val="28"/>
          <w:lang w:val="en-GB"/>
        </w:rPr>
        <w:t>PROVISIONAL TIMETABLE</w:t>
      </w:r>
    </w:p>
    <w:p w14:paraId="6255168A"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54E8632" w14:textId="64521F3E" w:rsidR="006F5FD0" w:rsidRPr="003479EF" w:rsidRDefault="00B95B9B" w:rsidP="00571687">
      <w:pPr>
        <w:pStyle w:val="Blockquote"/>
        <w:jc w:val="both"/>
        <w:rPr>
          <w:i/>
          <w:color w:val="000000"/>
          <w:sz w:val="22"/>
          <w:szCs w:val="22"/>
          <w:lang w:val="bg-BG"/>
        </w:rPr>
      </w:pPr>
      <w:r w:rsidRPr="003479EF">
        <w:rPr>
          <w:rStyle w:val="Emphasis"/>
          <w:i w:val="0"/>
          <w:color w:val="000000"/>
          <w:sz w:val="22"/>
          <w:szCs w:val="22"/>
          <w:lang w:val="bg-BG"/>
        </w:rPr>
        <w:t>15.</w:t>
      </w:r>
      <w:r w:rsidR="007B4C5E" w:rsidRPr="003479EF">
        <w:rPr>
          <w:rStyle w:val="Emphasis"/>
          <w:i w:val="0"/>
          <w:color w:val="000000"/>
          <w:sz w:val="22"/>
          <w:szCs w:val="22"/>
        </w:rPr>
        <w:t>10</w:t>
      </w:r>
      <w:r w:rsidRPr="003479EF">
        <w:rPr>
          <w:rStyle w:val="Emphasis"/>
          <w:i w:val="0"/>
          <w:color w:val="000000"/>
          <w:sz w:val="22"/>
          <w:szCs w:val="22"/>
          <w:lang w:val="bg-BG"/>
        </w:rPr>
        <w:t>.2019</w:t>
      </w:r>
    </w:p>
    <w:p w14:paraId="607F12BD"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05FED021" w14:textId="44C0CB17" w:rsidR="006F5FD0" w:rsidRPr="003479EF" w:rsidRDefault="00B95B9B" w:rsidP="00571687">
      <w:pPr>
        <w:pStyle w:val="Blockquote"/>
        <w:jc w:val="both"/>
        <w:rPr>
          <w:i/>
          <w:color w:val="000000"/>
          <w:sz w:val="22"/>
          <w:szCs w:val="22"/>
        </w:rPr>
      </w:pPr>
      <w:r w:rsidRPr="003479EF">
        <w:rPr>
          <w:rStyle w:val="Emphasis"/>
          <w:i w:val="0"/>
          <w:color w:val="000000"/>
          <w:sz w:val="22"/>
          <w:szCs w:val="22"/>
          <w:lang w:val="bg-BG"/>
        </w:rPr>
        <w:t>1</w:t>
      </w:r>
      <w:r w:rsidR="007B4C5E" w:rsidRPr="003479EF">
        <w:rPr>
          <w:rStyle w:val="Emphasis"/>
          <w:i w:val="0"/>
          <w:color w:val="000000"/>
          <w:sz w:val="22"/>
          <w:szCs w:val="22"/>
        </w:rPr>
        <w:t>0</w:t>
      </w:r>
      <w:r w:rsidRPr="003479EF">
        <w:rPr>
          <w:rStyle w:val="Emphasis"/>
          <w:i w:val="0"/>
          <w:color w:val="000000"/>
          <w:sz w:val="22"/>
          <w:szCs w:val="22"/>
          <w:lang w:val="bg-BG"/>
        </w:rPr>
        <w:t xml:space="preserve"> </w:t>
      </w:r>
      <w:r w:rsidRPr="003479EF">
        <w:rPr>
          <w:rStyle w:val="Emphasis"/>
          <w:i w:val="0"/>
          <w:color w:val="000000"/>
          <w:sz w:val="22"/>
          <w:szCs w:val="22"/>
        </w:rPr>
        <w:t xml:space="preserve">months </w:t>
      </w:r>
    </w:p>
    <w:p w14:paraId="1B8331F2" w14:textId="77777777" w:rsidR="006F5FD0" w:rsidRPr="00B33EE6" w:rsidRDefault="00B05BBC">
      <w:pPr>
        <w:rPr>
          <w:sz w:val="22"/>
          <w:szCs w:val="22"/>
          <w:lang w:val="en-GB"/>
        </w:rPr>
      </w:pPr>
      <w:r>
        <w:rPr>
          <w:snapToGrid/>
          <w:sz w:val="22"/>
          <w:szCs w:val="22"/>
          <w:lang w:val="en-GB"/>
        </w:rPr>
        <w:pict w14:anchorId="7C100BD0">
          <v:line id="_x0000_s1027" alt="" style="position:absolute;z-index:4;mso-wrap-edited:f;mso-width-percent:0;mso-height-percent:0;mso-width-percent:0;mso-height-percent:0" from="0,12pt" to="468pt,12.05pt" o:allowincell="f" strokecolor="#d4d4d4" strokeweight="1.75pt">
            <v:shadow on="t" origin=",32385f" offset="0,-1pt"/>
          </v:line>
        </w:pict>
      </w:r>
    </w:p>
    <w:p w14:paraId="131FCDFC"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462DF172" w14:textId="77777777" w:rsidR="006F5FD0" w:rsidRPr="00B33EE6" w:rsidRDefault="005639EC" w:rsidP="00584BF4">
      <w:pPr>
        <w:ind w:left="709" w:hanging="349"/>
        <w:outlineLvl w:val="0"/>
        <w:rPr>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4338F91" w14:textId="77777777"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if not specified otherwise. The selection criteria will not be applied to natural persons and single-member companies when they are sub-contractors.</w:t>
      </w:r>
    </w:p>
    <w:p w14:paraId="7917A99B" w14:textId="71606091" w:rsidR="006F5FD0" w:rsidRDefault="006F5FD0" w:rsidP="00553AD6">
      <w:pPr>
        <w:pStyle w:val="Blockquote"/>
        <w:numPr>
          <w:ilvl w:val="0"/>
          <w:numId w:val="3"/>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 xml:space="preserve">years for </w:t>
      </w:r>
      <w:r w:rsidR="006751D2" w:rsidRPr="00B33EE6">
        <w:rPr>
          <w:sz w:val="22"/>
          <w:szCs w:val="22"/>
          <w:lang w:val="en-GB"/>
        </w:rPr>
        <w:lastRenderedPageBreak/>
        <w:t>which accounts have been closed.</w:t>
      </w:r>
    </w:p>
    <w:p w14:paraId="0121F056" w14:textId="77777777" w:rsidR="00B95B9B" w:rsidRPr="00E35B0A" w:rsidRDefault="00B95B9B" w:rsidP="00B95B9B">
      <w:pPr>
        <w:pStyle w:val="Blockquote"/>
        <w:ind w:left="357"/>
        <w:jc w:val="both"/>
        <w:rPr>
          <w:b/>
          <w:bCs/>
          <w:sz w:val="22"/>
          <w:szCs w:val="22"/>
          <w:lang w:val="en-GB"/>
        </w:rPr>
      </w:pPr>
      <w:r w:rsidRPr="00E35B0A">
        <w:rPr>
          <w:b/>
          <w:bCs/>
          <w:sz w:val="22"/>
          <w:szCs w:val="22"/>
          <w:lang w:val="en-GB"/>
        </w:rPr>
        <w:t xml:space="preserve">Criteria for legal and natural persons: </w:t>
      </w:r>
    </w:p>
    <w:p w14:paraId="5414BDD7" w14:textId="2318BCBB" w:rsidR="005073A2" w:rsidRPr="000B2A37" w:rsidRDefault="00B95B9B" w:rsidP="00553AD6">
      <w:pPr>
        <w:pStyle w:val="CommentText"/>
        <w:numPr>
          <w:ilvl w:val="0"/>
          <w:numId w:val="6"/>
        </w:numPr>
        <w:rPr>
          <w:lang w:val="bg-BG"/>
        </w:rPr>
      </w:pPr>
      <w:r w:rsidRPr="00553AD6">
        <w:rPr>
          <w:color w:val="000000"/>
          <w:sz w:val="22"/>
          <w:szCs w:val="22"/>
          <w:lang w:val="en-GB"/>
        </w:rPr>
        <w:t>The average annual turnover of the tenderer over the past three years (2016, 2017 and 2018) must exceed the maximum budget of the contract</w:t>
      </w:r>
      <w:r w:rsidR="000B2A37" w:rsidRPr="003B69F2">
        <w:rPr>
          <w:color w:val="FF0000"/>
          <w:sz w:val="22"/>
          <w:szCs w:val="22"/>
          <w:lang w:val="en-GB"/>
        </w:rPr>
        <w:t xml:space="preserve"> </w:t>
      </w:r>
    </w:p>
    <w:p w14:paraId="1B0A593B"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770DF27D" w14:textId="2DB99C72" w:rsidR="00BE08EC" w:rsidRDefault="00BE08EC" w:rsidP="00BB5B65">
      <w:pPr>
        <w:pStyle w:val="Blockquote"/>
        <w:ind w:right="357" w:hanging="3"/>
        <w:jc w:val="both"/>
        <w:rPr>
          <w:sz w:val="22"/>
          <w:szCs w:val="22"/>
          <w:lang w:val="en-GB"/>
        </w:rPr>
      </w:pPr>
      <w:r w:rsidRPr="00AC0255">
        <w:rPr>
          <w:sz w:val="22"/>
          <w:szCs w:val="22"/>
          <w:lang w:val="en-GB"/>
        </w:rPr>
        <w:t>The reference period which will be taken into account will be the last three</w:t>
      </w:r>
      <w:r w:rsidR="00862885" w:rsidRPr="00AC0255">
        <w:rPr>
          <w:sz w:val="22"/>
          <w:szCs w:val="22"/>
          <w:lang w:val="en-GB"/>
        </w:rPr>
        <w:t xml:space="preserve"> years </w:t>
      </w:r>
      <w:r w:rsidR="00771F97" w:rsidRPr="00AC0255">
        <w:rPr>
          <w:sz w:val="22"/>
          <w:szCs w:val="22"/>
          <w:lang w:val="en-GB"/>
        </w:rPr>
        <w:t>preceding the</w:t>
      </w:r>
      <w:r w:rsidRPr="00AC0255">
        <w:rPr>
          <w:sz w:val="22"/>
          <w:szCs w:val="22"/>
          <w:lang w:val="en-GB"/>
        </w:rPr>
        <w:t xml:space="preserve"> submission deadline.</w:t>
      </w:r>
    </w:p>
    <w:p w14:paraId="3DE1C8FE" w14:textId="521B6792" w:rsidR="000B2A37" w:rsidRDefault="00333D98" w:rsidP="00553AD6">
      <w:pPr>
        <w:widowControl/>
        <w:numPr>
          <w:ilvl w:val="0"/>
          <w:numId w:val="5"/>
        </w:numPr>
        <w:autoSpaceDE w:val="0"/>
        <w:spacing w:before="0" w:after="0"/>
        <w:contextualSpacing/>
        <w:jc w:val="both"/>
        <w:rPr>
          <w:sz w:val="22"/>
          <w:szCs w:val="22"/>
          <w:lang w:val="bg-BG"/>
        </w:rPr>
      </w:pPr>
      <w:r>
        <w:rPr>
          <w:sz w:val="22"/>
          <w:szCs w:val="22"/>
        </w:rPr>
        <w:t>h</w:t>
      </w:r>
      <w:r w:rsidR="0099013F" w:rsidRPr="00B33EE6">
        <w:rPr>
          <w:sz w:val="22"/>
          <w:szCs w:val="22"/>
          <w:lang w:val="en-GB"/>
        </w:rPr>
        <w:t xml:space="preserve">as a professional certificate appropriate to this contract, such as </w:t>
      </w:r>
      <w:r w:rsidR="000B2A37" w:rsidRPr="003B69F2">
        <w:rPr>
          <w:sz w:val="22"/>
          <w:szCs w:val="22"/>
        </w:rPr>
        <w:t xml:space="preserve">Certified Quality Management system </w:t>
      </w:r>
      <w:r w:rsidR="0099013F">
        <w:rPr>
          <w:sz w:val="22"/>
          <w:szCs w:val="22"/>
        </w:rPr>
        <w:t>in line with</w:t>
      </w:r>
      <w:r w:rsidR="000B2A37" w:rsidRPr="003B69F2">
        <w:rPr>
          <w:sz w:val="22"/>
          <w:szCs w:val="22"/>
        </w:rPr>
        <w:t xml:space="preserve"> international standard ISO 9001:2015 (or equivalent) and valid Certificate with scope of activities including “event m</w:t>
      </w:r>
      <w:bookmarkStart w:id="14" w:name="_GoBack"/>
      <w:bookmarkEnd w:id="14"/>
      <w:r w:rsidR="000B2A37" w:rsidRPr="003B69F2">
        <w:rPr>
          <w:sz w:val="22"/>
          <w:szCs w:val="22"/>
        </w:rPr>
        <w:t>anagement”, issued from Certification body, accredited from national accreditation agency member of International</w:t>
      </w:r>
      <w:r w:rsidR="000B2A37" w:rsidRPr="003B69F2">
        <w:rPr>
          <w:sz w:val="22"/>
          <w:szCs w:val="22"/>
          <w:lang w:val="bg-BG"/>
        </w:rPr>
        <w:t xml:space="preserve"> </w:t>
      </w:r>
      <w:proofErr w:type="spellStart"/>
      <w:r w:rsidR="000B2A37" w:rsidRPr="003B69F2">
        <w:rPr>
          <w:sz w:val="22"/>
          <w:szCs w:val="22"/>
          <w:lang w:val="bg-BG"/>
        </w:rPr>
        <w:t>Accreditation</w:t>
      </w:r>
      <w:proofErr w:type="spellEnd"/>
      <w:r w:rsidR="000B2A37" w:rsidRPr="003B69F2">
        <w:rPr>
          <w:sz w:val="22"/>
          <w:szCs w:val="22"/>
          <w:lang w:val="bg-BG"/>
        </w:rPr>
        <w:t xml:space="preserve"> </w:t>
      </w:r>
      <w:proofErr w:type="spellStart"/>
      <w:r w:rsidR="000B2A37" w:rsidRPr="003B69F2">
        <w:rPr>
          <w:sz w:val="22"/>
          <w:szCs w:val="22"/>
          <w:lang w:val="bg-BG"/>
        </w:rPr>
        <w:t>Forum</w:t>
      </w:r>
      <w:proofErr w:type="spellEnd"/>
      <w:r w:rsidR="000B2A37" w:rsidRPr="003B69F2">
        <w:rPr>
          <w:sz w:val="22"/>
          <w:szCs w:val="22"/>
          <w:lang w:val="bg-BG"/>
        </w:rPr>
        <w:t xml:space="preserve"> – </w:t>
      </w:r>
      <w:proofErr w:type="spellStart"/>
      <w:r w:rsidR="000B2A37" w:rsidRPr="003B69F2">
        <w:rPr>
          <w:sz w:val="22"/>
          <w:szCs w:val="22"/>
          <w:lang w:val="bg-BG"/>
        </w:rPr>
        <w:t>Multilateral</w:t>
      </w:r>
      <w:proofErr w:type="spellEnd"/>
      <w:r w:rsidR="000B2A37" w:rsidRPr="003B69F2">
        <w:rPr>
          <w:sz w:val="22"/>
          <w:szCs w:val="22"/>
          <w:lang w:val="bg-BG"/>
        </w:rPr>
        <w:t xml:space="preserve"> </w:t>
      </w:r>
      <w:proofErr w:type="spellStart"/>
      <w:r w:rsidR="000B2A37" w:rsidRPr="003B69F2">
        <w:rPr>
          <w:sz w:val="22"/>
          <w:szCs w:val="22"/>
          <w:lang w:val="bg-BG"/>
        </w:rPr>
        <w:t>Recognition</w:t>
      </w:r>
      <w:proofErr w:type="spellEnd"/>
      <w:r w:rsidR="000B2A37" w:rsidRPr="003B69F2">
        <w:rPr>
          <w:sz w:val="22"/>
          <w:szCs w:val="22"/>
          <w:lang w:val="bg-BG"/>
        </w:rPr>
        <w:t xml:space="preserve"> </w:t>
      </w:r>
      <w:proofErr w:type="spellStart"/>
      <w:r w:rsidR="000B2A37" w:rsidRPr="003B69F2">
        <w:rPr>
          <w:sz w:val="22"/>
          <w:szCs w:val="22"/>
          <w:lang w:val="bg-BG"/>
        </w:rPr>
        <w:t>Agreement</w:t>
      </w:r>
      <w:proofErr w:type="spellEnd"/>
      <w:r w:rsidR="000B2A37" w:rsidRPr="003B69F2">
        <w:rPr>
          <w:sz w:val="22"/>
          <w:szCs w:val="22"/>
          <w:lang w:val="bg-BG"/>
        </w:rPr>
        <w:t xml:space="preserve"> (IAF MLA) </w:t>
      </w:r>
      <w:r w:rsidR="000B2A37" w:rsidRPr="003B69F2">
        <w:rPr>
          <w:sz w:val="22"/>
          <w:szCs w:val="22"/>
        </w:rPr>
        <w:t>according to</w:t>
      </w:r>
      <w:r w:rsidR="000B2A37" w:rsidRPr="003B69F2">
        <w:rPr>
          <w:sz w:val="22"/>
          <w:szCs w:val="22"/>
          <w:lang w:val="bg-BG"/>
        </w:rPr>
        <w:t xml:space="preserve"> ISO/IEC 17021:20</w:t>
      </w:r>
      <w:r w:rsidR="000B2A37" w:rsidRPr="003B69F2">
        <w:rPr>
          <w:sz w:val="22"/>
          <w:szCs w:val="22"/>
        </w:rPr>
        <w:t>15</w:t>
      </w:r>
      <w:r w:rsidR="000B2A37" w:rsidRPr="003B69F2">
        <w:rPr>
          <w:sz w:val="22"/>
          <w:szCs w:val="22"/>
          <w:lang w:val="bg-BG"/>
        </w:rPr>
        <w:t>.</w:t>
      </w:r>
    </w:p>
    <w:p w14:paraId="178D62C7" w14:textId="0E0D5BEA" w:rsidR="0099013F" w:rsidRPr="003479EF" w:rsidRDefault="0099013F" w:rsidP="00553AD6">
      <w:pPr>
        <w:widowControl/>
        <w:numPr>
          <w:ilvl w:val="0"/>
          <w:numId w:val="5"/>
        </w:numPr>
        <w:autoSpaceDE w:val="0"/>
        <w:spacing w:before="0" w:after="0"/>
        <w:contextualSpacing/>
        <w:jc w:val="both"/>
        <w:rPr>
          <w:color w:val="000000"/>
          <w:sz w:val="22"/>
          <w:szCs w:val="22"/>
          <w:lang w:val="bg-BG"/>
        </w:rPr>
      </w:pPr>
      <w:r w:rsidRPr="003479EF">
        <w:rPr>
          <w:color w:val="000000"/>
          <w:sz w:val="22"/>
          <w:szCs w:val="22"/>
          <w:lang w:val="en-GB"/>
        </w:rPr>
        <w:t>at least 2 (two) staff members currently work for the tenderer in fields related to this contract</w:t>
      </w:r>
    </w:p>
    <w:p w14:paraId="75A9AE98" w14:textId="41644CFB" w:rsidR="00BE08EC" w:rsidRDefault="005073A2" w:rsidP="005073A2">
      <w:pPr>
        <w:pStyle w:val="Blockquote"/>
        <w:ind w:left="720" w:right="357" w:hanging="360"/>
        <w:jc w:val="both"/>
        <w:rPr>
          <w:sz w:val="22"/>
          <w:szCs w:val="22"/>
          <w:lang w:val="en-GB"/>
        </w:rPr>
      </w:pPr>
      <w:r w:rsidRPr="005073A2">
        <w:rPr>
          <w:b/>
          <w:sz w:val="22"/>
          <w:szCs w:val="22"/>
          <w:u w:val="single"/>
          <w:lang w:val="en-GB"/>
        </w:rPr>
        <w:t>3)</w:t>
      </w:r>
      <w:r>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w:t>
      </w:r>
      <w:r w:rsidR="00BE08EC" w:rsidRPr="005073A2">
        <w:rPr>
          <w:sz w:val="22"/>
          <w:szCs w:val="22"/>
          <w:lang w:val="en-GB"/>
        </w:rPr>
        <w:t>period which will be taken into account will be the last three</w:t>
      </w:r>
      <w:r w:rsidR="00862885" w:rsidRPr="005073A2">
        <w:rPr>
          <w:sz w:val="22"/>
          <w:szCs w:val="22"/>
          <w:lang w:val="en-GB"/>
        </w:rPr>
        <w:t xml:space="preserve"> years </w:t>
      </w:r>
      <w:r w:rsidR="00771F97" w:rsidRPr="005073A2">
        <w:rPr>
          <w:sz w:val="22"/>
          <w:szCs w:val="22"/>
          <w:lang w:val="en-GB"/>
        </w:rPr>
        <w:t>preceding the</w:t>
      </w:r>
      <w:r w:rsidR="00BE08EC" w:rsidRPr="005073A2">
        <w:rPr>
          <w:sz w:val="22"/>
          <w:szCs w:val="22"/>
          <w:lang w:val="en-GB"/>
        </w:rPr>
        <w:t xml:space="preserve"> submission</w:t>
      </w:r>
      <w:r w:rsidR="00BE08EC" w:rsidRPr="00B33EE6">
        <w:rPr>
          <w:sz w:val="22"/>
          <w:szCs w:val="22"/>
          <w:lang w:val="en-GB"/>
        </w:rPr>
        <w:t xml:space="preserve"> deadline.</w:t>
      </w:r>
    </w:p>
    <w:p w14:paraId="0A949098" w14:textId="1C1E36D4" w:rsidR="00313E27" w:rsidRPr="00313E27" w:rsidRDefault="00313E27" w:rsidP="00313E27">
      <w:pPr>
        <w:pStyle w:val="Blockquote"/>
        <w:numPr>
          <w:ilvl w:val="0"/>
          <w:numId w:val="4"/>
        </w:numPr>
        <w:spacing w:before="0" w:after="0" w:line="140" w:lineRule="atLeast"/>
        <w:ind w:right="310"/>
        <w:jc w:val="both"/>
        <w:rPr>
          <w:color w:val="000000"/>
          <w:sz w:val="22"/>
          <w:szCs w:val="22"/>
        </w:rPr>
      </w:pPr>
      <w:r w:rsidRPr="003479EF">
        <w:rPr>
          <w:color w:val="000000"/>
          <w:sz w:val="22"/>
          <w:szCs w:val="22"/>
          <w:lang w:val="en-GB"/>
        </w:rPr>
        <w:t xml:space="preserve">The tenderer </w:t>
      </w:r>
      <w:r w:rsidR="009432E9" w:rsidRPr="003479EF">
        <w:rPr>
          <w:color w:val="000000"/>
          <w:sz w:val="22"/>
          <w:szCs w:val="22"/>
        </w:rPr>
        <w:t xml:space="preserve">shall have experience and </w:t>
      </w:r>
      <w:r w:rsidR="009432E9" w:rsidRPr="003479EF">
        <w:rPr>
          <w:color w:val="000000"/>
          <w:sz w:val="22"/>
          <w:szCs w:val="22"/>
          <w:lang w:val="en-GB"/>
        </w:rPr>
        <w:t xml:space="preserve">has provided services under at least 1 contract / service </w:t>
      </w:r>
      <w:r w:rsidR="009432E9" w:rsidRPr="003479EF">
        <w:rPr>
          <w:color w:val="000000"/>
          <w:sz w:val="22"/>
          <w:szCs w:val="22"/>
        </w:rPr>
        <w:t xml:space="preserve">concerning the fields of event management and organisation </w:t>
      </w:r>
      <w:r w:rsidRPr="003479EF">
        <w:rPr>
          <w:color w:val="000000"/>
          <w:sz w:val="22"/>
          <w:szCs w:val="22"/>
          <w:lang w:val="en-GB"/>
        </w:rPr>
        <w:t xml:space="preserve">with a budget of at least that of this contract in art. 9 which was implemented at any moment during </w:t>
      </w:r>
      <w:r w:rsidR="00DE4D55" w:rsidRPr="003479EF">
        <w:rPr>
          <w:color w:val="000000"/>
          <w:sz w:val="22"/>
          <w:szCs w:val="22"/>
          <w:lang w:val="en-GB"/>
        </w:rPr>
        <w:t>the last three years preceding the submission deadline</w:t>
      </w:r>
      <w:r w:rsidRPr="003479EF">
        <w:rPr>
          <w:color w:val="000000"/>
          <w:sz w:val="22"/>
          <w:szCs w:val="22"/>
          <w:lang w:val="en-GB"/>
        </w:rPr>
        <w:t xml:space="preserve">. </w:t>
      </w:r>
      <w:r w:rsidRPr="003479EF">
        <w:rPr>
          <w:color w:val="000000"/>
          <w:sz w:val="22"/>
          <w:szCs w:val="22"/>
        </w:rPr>
        <w:t>The tenderer has to provide list</w:t>
      </w:r>
      <w:r w:rsidR="009432E9" w:rsidRPr="003479EF">
        <w:rPr>
          <w:color w:val="000000"/>
          <w:sz w:val="22"/>
          <w:szCs w:val="22"/>
        </w:rPr>
        <w:t xml:space="preserve"> with contracts/services</w:t>
      </w:r>
      <w:r w:rsidRPr="003479EF">
        <w:rPr>
          <w:color w:val="000000"/>
          <w:sz w:val="22"/>
          <w:szCs w:val="22"/>
        </w:rPr>
        <w:t xml:space="preserve"> </w:t>
      </w:r>
      <w:r w:rsidR="009432E9" w:rsidRPr="003479EF">
        <w:rPr>
          <w:color w:val="000000"/>
          <w:sz w:val="22"/>
          <w:szCs w:val="22"/>
        </w:rPr>
        <w:t>included of</w:t>
      </w:r>
      <w:r w:rsidRPr="003479EF">
        <w:rPr>
          <w:color w:val="000000"/>
          <w:sz w:val="22"/>
          <w:szCs w:val="22"/>
        </w:rPr>
        <w:t xml:space="preserve"> the following</w:t>
      </w:r>
      <w:r w:rsidR="009432E9" w:rsidRPr="003479EF">
        <w:rPr>
          <w:color w:val="000000"/>
          <w:sz w:val="22"/>
          <w:szCs w:val="22"/>
        </w:rPr>
        <w:t xml:space="preserve"> information</w:t>
      </w:r>
      <w:r w:rsidR="007B4C5E" w:rsidRPr="003479EF">
        <w:rPr>
          <w:color w:val="000000"/>
          <w:sz w:val="22"/>
          <w:szCs w:val="22"/>
        </w:rPr>
        <w:t xml:space="preserve"> as a table</w:t>
      </w:r>
      <w:r w:rsidRPr="003479EF">
        <w:rPr>
          <w:color w:val="000000"/>
          <w:sz w:val="22"/>
          <w:szCs w:val="22"/>
        </w:rPr>
        <w:t>:</w:t>
      </w:r>
      <w:r w:rsidR="00333D98" w:rsidRPr="003479EF">
        <w:rPr>
          <w:color w:val="000000"/>
          <w:sz w:val="22"/>
          <w:szCs w:val="22"/>
        </w:rPr>
        <w:t xml:space="preserve"> </w:t>
      </w:r>
      <w:r w:rsidR="00B32E1C" w:rsidRPr="003479EF">
        <w:rPr>
          <w:color w:val="000000"/>
          <w:sz w:val="22"/>
          <w:szCs w:val="22"/>
        </w:rPr>
        <w:t>Date</w:t>
      </w:r>
      <w:r w:rsidR="00B32E1C">
        <w:rPr>
          <w:color w:val="000000"/>
          <w:sz w:val="22"/>
          <w:szCs w:val="22"/>
        </w:rPr>
        <w:t xml:space="preserve"> of Contract/Service, Contracting Authority, Duration of the Contract/Service, Amount of the contract/Service, Scope of the Contract/Service </w:t>
      </w:r>
    </w:p>
    <w:p w14:paraId="460ECE7C" w14:textId="18EE671D" w:rsidR="005073A2" w:rsidRPr="00553AD6" w:rsidRDefault="005073A2" w:rsidP="00553AD6">
      <w:pPr>
        <w:pStyle w:val="Blockquote"/>
        <w:numPr>
          <w:ilvl w:val="0"/>
          <w:numId w:val="4"/>
        </w:numPr>
        <w:spacing w:before="0" w:after="0" w:line="140" w:lineRule="atLeast"/>
        <w:ind w:right="310"/>
        <w:jc w:val="both"/>
        <w:rPr>
          <w:color w:val="000000"/>
          <w:sz w:val="22"/>
          <w:szCs w:val="22"/>
        </w:rPr>
      </w:pPr>
      <w:r w:rsidRPr="00553AD6">
        <w:rPr>
          <w:color w:val="000000"/>
          <w:sz w:val="22"/>
          <w:szCs w:val="22"/>
        </w:rPr>
        <w:t xml:space="preserve">The tenderer has to provide </w:t>
      </w:r>
      <w:r w:rsidR="007807A8">
        <w:rPr>
          <w:color w:val="000000"/>
          <w:sz w:val="22"/>
          <w:szCs w:val="22"/>
        </w:rPr>
        <w:t xml:space="preserve">at least </w:t>
      </w:r>
      <w:r w:rsidRPr="00553AD6">
        <w:rPr>
          <w:color w:val="000000"/>
          <w:sz w:val="22"/>
          <w:szCs w:val="22"/>
        </w:rPr>
        <w:t xml:space="preserve">one reference in the fields of the contract specified in item 3 (a), which </w:t>
      </w:r>
      <w:r w:rsidR="00DE4D55">
        <w:rPr>
          <w:color w:val="000000"/>
          <w:sz w:val="22"/>
          <w:szCs w:val="22"/>
        </w:rPr>
        <w:t>was/</w:t>
      </w:r>
      <w:r w:rsidRPr="00553AD6">
        <w:rPr>
          <w:color w:val="000000"/>
          <w:sz w:val="22"/>
          <w:szCs w:val="22"/>
        </w:rPr>
        <w:t>were implemented at any moment during the past three years</w:t>
      </w:r>
      <w:r w:rsidR="00DE4D55">
        <w:rPr>
          <w:color w:val="000000"/>
          <w:sz w:val="22"/>
          <w:szCs w:val="22"/>
        </w:rPr>
        <w:t xml:space="preserve"> </w:t>
      </w:r>
      <w:r w:rsidR="00DE4D55" w:rsidRPr="005073A2">
        <w:rPr>
          <w:sz w:val="22"/>
          <w:szCs w:val="22"/>
          <w:lang w:val="en-GB"/>
        </w:rPr>
        <w:t>preceding the submission</w:t>
      </w:r>
      <w:r w:rsidR="00DE4D55" w:rsidRPr="00B33EE6">
        <w:rPr>
          <w:sz w:val="22"/>
          <w:szCs w:val="22"/>
          <w:lang w:val="en-GB"/>
        </w:rPr>
        <w:t xml:space="preserve"> deadline</w:t>
      </w:r>
      <w:r w:rsidRPr="00553AD6">
        <w:rPr>
          <w:color w:val="000000"/>
          <w:sz w:val="22"/>
          <w:szCs w:val="22"/>
        </w:rPr>
        <w:t>. If a tenderer has implemented the project in a consortium, the percentage that the tenderer has successfully completed must be clearly stated in the Tender submission form. For the purposes of this procedure, a project is considered compliant with this requirement if at least 50 % of such project (project activities) was carried out by the tenderer.</w:t>
      </w:r>
    </w:p>
    <w:p w14:paraId="15175C17" w14:textId="272EA6BC" w:rsidR="00DA1EE7" w:rsidRDefault="00DA1EE7" w:rsidP="00DA1EE7">
      <w:pPr>
        <w:pStyle w:val="Blockquote"/>
        <w:spacing w:before="0" w:after="0" w:line="140" w:lineRule="atLeast"/>
        <w:ind w:left="0" w:right="310"/>
        <w:jc w:val="both"/>
        <w:rPr>
          <w:sz w:val="22"/>
          <w:szCs w:val="22"/>
        </w:rPr>
      </w:pPr>
    </w:p>
    <w:p w14:paraId="43BF2EE6" w14:textId="45694363" w:rsidR="00DA1EE7" w:rsidRDefault="00DA1EE7" w:rsidP="00DA1EE7">
      <w:pPr>
        <w:pStyle w:val="Blockquote"/>
        <w:spacing w:before="0" w:after="0" w:line="140" w:lineRule="atLeast"/>
        <w:ind w:right="310"/>
        <w:jc w:val="both"/>
        <w:rPr>
          <w:sz w:val="22"/>
          <w:szCs w:val="22"/>
        </w:rPr>
      </w:pPr>
      <w:r w:rsidRPr="00DA1EE7">
        <w:rPr>
          <w:sz w:val="22"/>
          <w:szCs w:val="22"/>
        </w:rPr>
        <w:t xml:space="preserve">This means that the service contract the tenderer refers to could have been started or completed at any time during the indicated period but it does not necessarily have to be started and completed during that period, nor implemented during the entire period. Tenderers are allowed to refer either to service contracts completed within the reference period (although started earlier) or to service contracts not yet completed. In the first case the service contract will be considered in its whole if </w:t>
      </w:r>
      <w:r w:rsidRPr="00DA1EE7">
        <w:rPr>
          <w:sz w:val="22"/>
          <w:szCs w:val="22"/>
        </w:rPr>
        <w:lastRenderedPageBreak/>
        <w:t>proper evidence of performance is provided (statement or certificate from the entity which awarded the contract, proof of final payment for services). In case of service contract still on-going only the portion satisfactorily completed during the reference period although started earlier will be taken into consideration. This portion will have to be supported by documentary evidence (similarly to service contracts completed)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46F9937E" w14:textId="6F9C1C17" w:rsidR="00DA1EE7" w:rsidRDefault="00DA1EE7" w:rsidP="00DA1EE7">
      <w:pPr>
        <w:pStyle w:val="Blockquote"/>
        <w:spacing w:before="0" w:after="0" w:line="140" w:lineRule="atLeast"/>
        <w:ind w:right="310"/>
        <w:jc w:val="both"/>
        <w:rPr>
          <w:sz w:val="22"/>
          <w:szCs w:val="22"/>
        </w:rPr>
      </w:pPr>
    </w:p>
    <w:p w14:paraId="430D0074" w14:textId="63AA496D"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64D7366F" w14:textId="452B292B" w:rsidR="007121FB" w:rsidRPr="00B33EE6" w:rsidRDefault="005B4F80" w:rsidP="007121FB">
      <w:pPr>
        <w:pStyle w:val="Blockquote"/>
        <w:jc w:val="both"/>
        <w:rPr>
          <w:sz w:val="22"/>
          <w:szCs w:val="22"/>
          <w:lang w:val="en-GB"/>
        </w:rPr>
      </w:pPr>
      <w:r w:rsidRPr="00DA1EE7">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sidRPr="00DA1EE7">
        <w:rPr>
          <w:sz w:val="22"/>
          <w:szCs w:val="22"/>
          <w:lang w:val="en-GB"/>
        </w:rPr>
        <w:t>c</w:t>
      </w:r>
      <w:r w:rsidRPr="00DA1EE7">
        <w:rPr>
          <w:sz w:val="22"/>
          <w:szCs w:val="22"/>
          <w:lang w:val="en-GB"/>
        </w:rPr>
        <w:t xml:space="preserve">ontracting </w:t>
      </w:r>
      <w:r w:rsidR="00D33DD9" w:rsidRPr="00DA1EE7">
        <w:rPr>
          <w:sz w:val="22"/>
          <w:szCs w:val="22"/>
          <w:lang w:val="en-GB"/>
        </w:rPr>
        <w:t>a</w:t>
      </w:r>
      <w:r w:rsidRPr="00DA1EE7">
        <w:rPr>
          <w:sz w:val="22"/>
          <w:szCs w:val="22"/>
          <w:lang w:val="en-GB"/>
        </w:rPr>
        <w:t xml:space="preserve">uthority that it will have at its disposal the resources necessary for </w:t>
      </w:r>
      <w:r w:rsidR="00970A93" w:rsidRPr="00DA1EE7">
        <w:rPr>
          <w:sz w:val="22"/>
          <w:szCs w:val="22"/>
          <w:lang w:val="en-GB"/>
        </w:rPr>
        <w:t xml:space="preserve">the </w:t>
      </w:r>
      <w:r w:rsidRPr="00DA1EE7">
        <w:rPr>
          <w:sz w:val="22"/>
          <w:szCs w:val="22"/>
          <w:lang w:val="en-GB"/>
        </w:rPr>
        <w:t xml:space="preserve">performance of the contract by producing a </w:t>
      </w:r>
      <w:r w:rsidR="003D16FB" w:rsidRPr="00DA1EE7">
        <w:rPr>
          <w:sz w:val="22"/>
          <w:szCs w:val="22"/>
          <w:lang w:val="en-GB"/>
        </w:rPr>
        <w:t>commitment</w:t>
      </w:r>
      <w:r w:rsidRPr="00DA1EE7">
        <w:rPr>
          <w:sz w:val="22"/>
          <w:szCs w:val="22"/>
          <w:lang w:val="en-GB"/>
        </w:rPr>
        <w:t xml:space="preserve"> </w:t>
      </w:r>
      <w:r w:rsidR="00970A93" w:rsidRPr="00DA1EE7">
        <w:rPr>
          <w:sz w:val="22"/>
          <w:szCs w:val="22"/>
          <w:lang w:val="en-GB"/>
        </w:rPr>
        <w:t xml:space="preserve">by </w:t>
      </w:r>
      <w:r w:rsidRPr="00DA1EE7">
        <w:rPr>
          <w:sz w:val="22"/>
          <w:szCs w:val="22"/>
          <w:lang w:val="en-GB"/>
        </w:rPr>
        <w:t xml:space="preserve">those entities to place those resources at its disposal. </w:t>
      </w:r>
      <w:r w:rsidR="007121FB" w:rsidRPr="00DA1EE7">
        <w:rPr>
          <w:sz w:val="22"/>
          <w:szCs w:val="22"/>
          <w:lang w:val="en-GB"/>
        </w:rPr>
        <w:t>Such entities</w:t>
      </w:r>
      <w:r w:rsidR="00590ADB" w:rsidRPr="00DA1EE7">
        <w:rPr>
          <w:sz w:val="22"/>
          <w:szCs w:val="22"/>
          <w:lang w:val="en-GB"/>
        </w:rPr>
        <w:t xml:space="preserve">, for instance the parent company of the economic operator, </w:t>
      </w:r>
      <w:r w:rsidR="007121FB" w:rsidRPr="00DA1EE7">
        <w:rPr>
          <w:sz w:val="22"/>
          <w:szCs w:val="22"/>
          <w:lang w:val="en-GB"/>
        </w:rPr>
        <w:t xml:space="preserve">must respect the same rules of eligibility </w:t>
      </w:r>
      <w:r w:rsidR="003D16FB" w:rsidRPr="00DA1EE7">
        <w:rPr>
          <w:sz w:val="22"/>
          <w:szCs w:val="22"/>
          <w:lang w:val="en-GB"/>
        </w:rPr>
        <w:t xml:space="preserve">- </w:t>
      </w:r>
      <w:r w:rsidR="007121FB" w:rsidRPr="00DA1EE7">
        <w:rPr>
          <w:sz w:val="22"/>
          <w:szCs w:val="22"/>
          <w:lang w:val="en-GB"/>
        </w:rPr>
        <w:t>notably that of nationality</w:t>
      </w:r>
      <w:r w:rsidR="003D16FB" w:rsidRPr="00DA1EE7">
        <w:rPr>
          <w:sz w:val="22"/>
          <w:szCs w:val="22"/>
          <w:lang w:val="en-GB"/>
        </w:rPr>
        <w:t xml:space="preserve"> -</w:t>
      </w:r>
      <w:r w:rsidR="007121FB" w:rsidRPr="00DA1EE7">
        <w:rPr>
          <w:sz w:val="22"/>
          <w:szCs w:val="22"/>
          <w:lang w:val="en-GB"/>
        </w:rPr>
        <w:t xml:space="preserve"> </w:t>
      </w:r>
      <w:r w:rsidR="00CF759C" w:rsidRPr="00DA1EE7">
        <w:rPr>
          <w:sz w:val="22"/>
          <w:szCs w:val="22"/>
          <w:lang w:val="en-GB"/>
        </w:rPr>
        <w:t xml:space="preserve">and must </w:t>
      </w:r>
      <w:r w:rsidR="00AF0B6B" w:rsidRPr="00DA1EE7">
        <w:rPr>
          <w:sz w:val="22"/>
          <w:szCs w:val="22"/>
          <w:lang w:val="en-GB"/>
        </w:rPr>
        <w:t>comply with the selection criteria for which the economic operator relies on them</w:t>
      </w:r>
      <w:r w:rsidR="007121FB" w:rsidRPr="00DA1EE7">
        <w:rPr>
          <w:sz w:val="22"/>
          <w:szCs w:val="22"/>
          <w:lang w:val="en-GB"/>
        </w:rPr>
        <w:t>.</w:t>
      </w:r>
      <w:r w:rsidR="00CF759C" w:rsidRPr="00DA1EE7">
        <w:rPr>
          <w:sz w:val="22"/>
          <w:szCs w:val="22"/>
          <w:lang w:val="en-GB"/>
        </w:rPr>
        <w:t xml:space="preserve"> </w:t>
      </w:r>
      <w:r w:rsidR="00C04FCE" w:rsidRPr="00DA1EE7">
        <w:rPr>
          <w:sz w:val="22"/>
          <w:szCs w:val="22"/>
          <w:lang w:val="en-GB"/>
        </w:rPr>
        <w:t>Furthermore, the data for this third entity for the relevant selection criterion should be included in the tender in a separate document. Proof of the capac</w:t>
      </w:r>
      <w:r w:rsidR="00C43AAC" w:rsidRPr="00DA1EE7">
        <w:rPr>
          <w:sz w:val="22"/>
          <w:szCs w:val="22"/>
          <w:lang w:val="en-GB"/>
        </w:rPr>
        <w:t>ity will also have to be provid</w:t>
      </w:r>
      <w:r w:rsidR="00C04FCE" w:rsidRPr="00DA1EE7">
        <w:rPr>
          <w:sz w:val="22"/>
          <w:szCs w:val="22"/>
          <w:lang w:val="en-GB"/>
        </w:rPr>
        <w:t xml:space="preserve">ed when requested by the contracting authority. </w:t>
      </w:r>
      <w:r w:rsidR="00CF759C" w:rsidRPr="00DA1EE7">
        <w:rPr>
          <w:sz w:val="22"/>
          <w:szCs w:val="22"/>
          <w:lang w:val="en-GB"/>
        </w:rPr>
        <w:t>With regard to technical and professional criteria, an economic operator may only rely on the capacities</w:t>
      </w:r>
      <w:r w:rsidR="00CF759C" w:rsidRPr="00B33EE6">
        <w:rPr>
          <w:sz w:val="22"/>
          <w:szCs w:val="22"/>
          <w:lang w:val="en-GB"/>
        </w:rPr>
        <w:t xml:space="preserve"> of other entities where the latter will perform the services for which these capacities are required.</w:t>
      </w:r>
      <w:r w:rsidR="00F17A90" w:rsidRPr="00B33EE6">
        <w:rPr>
          <w:sz w:val="22"/>
          <w:lang w:val="en-GB"/>
        </w:rPr>
        <w:t xml:space="preserve"> </w:t>
      </w:r>
      <w:r w:rsidR="00F17A90" w:rsidRPr="00B33EE6">
        <w:rPr>
          <w:sz w:val="22"/>
          <w:szCs w:val="22"/>
          <w:lang w:val="en-GB"/>
        </w:rPr>
        <w:t>With regard to economic and financial criteria the entities upon whose capacity the tenderer relies become jointly and severally liable for the performance of the contract.</w:t>
      </w:r>
    </w:p>
    <w:p w14:paraId="2F50276D"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3105580A" w14:textId="77777777" w:rsidR="006F5FD0" w:rsidRPr="00B33EE6" w:rsidRDefault="00397073">
      <w:pPr>
        <w:pStyle w:val="Blockquote"/>
        <w:jc w:val="both"/>
        <w:rPr>
          <w:sz w:val="22"/>
          <w:szCs w:val="22"/>
          <w:lang w:val="en-GB"/>
        </w:rPr>
      </w:pPr>
      <w:r w:rsidRPr="00B33EE6">
        <w:rPr>
          <w:sz w:val="22"/>
          <w:szCs w:val="22"/>
          <w:lang w:val="en-GB"/>
        </w:rPr>
        <w:t xml:space="preserve">Best </w:t>
      </w:r>
      <w:r w:rsidR="003D16FB" w:rsidRPr="00B33EE6">
        <w:rPr>
          <w:sz w:val="22"/>
          <w:szCs w:val="22"/>
          <w:lang w:val="en-GB"/>
        </w:rPr>
        <w:t>price-quality ratio</w:t>
      </w:r>
      <w:r w:rsidRPr="00B33EE6">
        <w:rPr>
          <w:sz w:val="22"/>
          <w:szCs w:val="22"/>
          <w:lang w:val="en-GB"/>
        </w:rPr>
        <w:t>.</w:t>
      </w:r>
    </w:p>
    <w:p w14:paraId="350F5080" w14:textId="77777777" w:rsidR="006F5FD0" w:rsidRPr="00B33EE6" w:rsidRDefault="00B05BBC">
      <w:pPr>
        <w:rPr>
          <w:sz w:val="22"/>
          <w:szCs w:val="22"/>
          <w:lang w:val="en-GB"/>
        </w:rPr>
      </w:pPr>
      <w:r>
        <w:rPr>
          <w:snapToGrid/>
          <w:sz w:val="22"/>
          <w:szCs w:val="22"/>
          <w:lang w:val="en-GB"/>
        </w:rPr>
        <w:pict w14:anchorId="7FCDC1AC">
          <v:line id="_x0000_s1026" alt="" style="position:absolute;z-index:5;mso-wrap-edited:f;mso-width-percent:0;mso-height-percent:0;mso-width-percent:0;mso-height-percent:0" from="0,12pt" to="468pt,12.05pt" o:allowincell="f" strokecolor="#d4d4d4" strokeweight="1.75pt">
            <v:shadow on="t" origin=",32385f" offset="0,-1pt"/>
          </v:line>
        </w:pict>
      </w:r>
    </w:p>
    <w:p w14:paraId="27900250" w14:textId="77777777" w:rsidR="006F5FD0" w:rsidRPr="00B33EE6" w:rsidRDefault="00994EA3">
      <w:pPr>
        <w:keepNext/>
        <w:jc w:val="center"/>
        <w:rPr>
          <w:sz w:val="28"/>
          <w:szCs w:val="28"/>
          <w:lang w:val="en-GB"/>
        </w:rPr>
      </w:pPr>
      <w:r w:rsidRPr="00B33EE6">
        <w:rPr>
          <w:rStyle w:val="Strong"/>
          <w:sz w:val="28"/>
          <w:szCs w:val="28"/>
          <w:lang w:val="en-GB"/>
        </w:rPr>
        <w:t>TENDERING</w:t>
      </w:r>
    </w:p>
    <w:p w14:paraId="5AB5794C"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receipt of </w:t>
      </w:r>
      <w:r w:rsidRPr="00B33EE6">
        <w:rPr>
          <w:rStyle w:val="Strong"/>
          <w:sz w:val="22"/>
          <w:szCs w:val="22"/>
          <w:lang w:val="en-GB"/>
        </w:rPr>
        <w:t>tenders</w:t>
      </w:r>
    </w:p>
    <w:p w14:paraId="7EFB4853"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receipt 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091291B1"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286BD864" w14:textId="77777777" w:rsidR="006F5FD0" w:rsidRPr="00B33EE6" w:rsidRDefault="00994EA3" w:rsidP="00235A71">
      <w:pPr>
        <w:pStyle w:val="Blockquote"/>
        <w:jc w:val="both"/>
        <w:rPr>
          <w:sz w:val="22"/>
          <w:szCs w:val="22"/>
          <w:lang w:val="en-GB"/>
        </w:rPr>
      </w:pPr>
      <w:r w:rsidRPr="00575124">
        <w:rPr>
          <w:rStyle w:val="Strong"/>
          <w:b w:val="0"/>
          <w:sz w:val="22"/>
          <w:szCs w:val="22"/>
          <w:lang w:val="en-GB"/>
        </w:rPr>
        <w:lastRenderedPageBreak/>
        <w:t>Tenders</w:t>
      </w:r>
      <w:r w:rsidR="006F5FD0" w:rsidRPr="00575124">
        <w:rPr>
          <w:rStyle w:val="Strong"/>
          <w:b w:val="0"/>
          <w:sz w:val="22"/>
          <w:szCs w:val="22"/>
          <w:lang w:val="en-GB"/>
        </w:rPr>
        <w:t xml:space="preserve"> must be submitted using the standard </w:t>
      </w:r>
      <w:r w:rsidRPr="00575124">
        <w:rPr>
          <w:rStyle w:val="Strong"/>
          <w:b w:val="0"/>
          <w:sz w:val="22"/>
          <w:szCs w:val="22"/>
          <w:lang w:val="en-GB"/>
        </w:rPr>
        <w:t>tender</w:t>
      </w:r>
      <w:r w:rsidR="006F5FD0" w:rsidRPr="00575124">
        <w:rPr>
          <w:rStyle w:val="Strong"/>
          <w:b w:val="0"/>
          <w:sz w:val="22"/>
          <w:szCs w:val="22"/>
          <w:lang w:val="en-GB"/>
        </w:rPr>
        <w:t xml:space="preserve"> form</w:t>
      </w:r>
      <w:r w:rsidR="006F5FD0" w:rsidRPr="00575124">
        <w:rPr>
          <w:sz w:val="22"/>
          <w:szCs w:val="22"/>
          <w:lang w:val="en-GB"/>
        </w:rPr>
        <w:t xml:space="preserve"> </w:t>
      </w:r>
      <w:r w:rsidRPr="00575124">
        <w:rPr>
          <w:sz w:val="22"/>
          <w:szCs w:val="22"/>
          <w:lang w:val="en-GB"/>
        </w:rPr>
        <w:t>for</w:t>
      </w:r>
      <w:r w:rsidR="00A046E7" w:rsidRPr="00575124">
        <w:rPr>
          <w:sz w:val="22"/>
          <w:szCs w:val="22"/>
          <w:lang w:val="en-GB"/>
        </w:rPr>
        <w:t xml:space="preserve"> simplified </w:t>
      </w:r>
      <w:r w:rsidR="00881C2D" w:rsidRPr="00575124">
        <w:rPr>
          <w:sz w:val="22"/>
          <w:szCs w:val="22"/>
          <w:lang w:val="en-GB"/>
        </w:rPr>
        <w:t>p</w:t>
      </w:r>
      <w:r w:rsidRPr="00575124">
        <w:rPr>
          <w:sz w:val="22"/>
          <w:szCs w:val="22"/>
          <w:lang w:val="en-GB"/>
        </w:rPr>
        <w:t>rocedures</w:t>
      </w:r>
      <w:r w:rsidR="009B06B5" w:rsidRPr="00575124">
        <w:rPr>
          <w:sz w:val="22"/>
          <w:szCs w:val="22"/>
          <w:lang w:val="en-GB"/>
        </w:rPr>
        <w:t xml:space="preserve">, the format and instructions of which must be strictly observed. The </w:t>
      </w:r>
      <w:r w:rsidRPr="00575124">
        <w:rPr>
          <w:sz w:val="22"/>
          <w:szCs w:val="22"/>
          <w:lang w:val="en-GB"/>
        </w:rPr>
        <w:t>tender</w:t>
      </w:r>
      <w:r w:rsidR="009B06B5" w:rsidRPr="00575124">
        <w:rPr>
          <w:sz w:val="22"/>
          <w:szCs w:val="22"/>
          <w:lang w:val="en-GB"/>
        </w:rPr>
        <w:t xml:space="preserve"> form is </w:t>
      </w:r>
      <w:r w:rsidR="006F5FD0" w:rsidRPr="00575124">
        <w:rPr>
          <w:sz w:val="22"/>
          <w:szCs w:val="22"/>
          <w:lang w:val="en-GB"/>
        </w:rPr>
        <w:t>available</w:t>
      </w:r>
      <w:r w:rsidR="006F5FD0" w:rsidRPr="00B33EE6">
        <w:rPr>
          <w:sz w:val="22"/>
          <w:szCs w:val="22"/>
          <w:lang w:val="en-GB"/>
        </w:rPr>
        <w:t xml:space="preserv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14:paraId="4C594ACC"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18973F1E" w14:textId="77777777" w:rsidR="004D5EDB" w:rsidRPr="00B33EE6" w:rsidRDefault="00B05BBC" w:rsidP="004D5EDB">
      <w:pPr>
        <w:pStyle w:val="Blockquote"/>
        <w:jc w:val="both"/>
        <w:rPr>
          <w:sz w:val="22"/>
          <w:szCs w:val="22"/>
          <w:lang w:val="en-GB"/>
        </w:rPr>
      </w:pPr>
      <w:hyperlink r:id="rId9"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7D5D0E8D"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7604415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1C4A9147"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73B403F7"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5C091D41"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 xml:space="preserve">By submitting a </w:t>
      </w:r>
      <w:proofErr w:type="gramStart"/>
      <w:r w:rsidRPr="00B33EE6">
        <w:rPr>
          <w:sz w:val="22"/>
          <w:szCs w:val="22"/>
          <w:lang w:val="en-GB"/>
        </w:rPr>
        <w:t>tender tenderers</w:t>
      </w:r>
      <w:proofErr w:type="gramEnd"/>
      <w:r w:rsidRPr="00B33EE6">
        <w:rPr>
          <w:sz w:val="22"/>
          <w:szCs w:val="22"/>
          <w:lang w:val="en-GB"/>
        </w:rPr>
        <w:t xml:space="preserve"> accept to receive notification of the outcome of the procedure by electronic means.</w:t>
      </w:r>
    </w:p>
    <w:p w14:paraId="64B430A3"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6FBAB7E0"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692D0455" w14:textId="77777777"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14:paraId="7F0C29BC"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10AA10FA"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675A0E13" w14:textId="77777777" w:rsidR="006F5FD0" w:rsidRPr="00B33EE6" w:rsidRDefault="004E1482" w:rsidP="00584BF4">
      <w:pPr>
        <w:ind w:left="709" w:hanging="349"/>
        <w:outlineLvl w:val="0"/>
        <w:rPr>
          <w:rStyle w:val="Strong"/>
          <w:sz w:val="22"/>
          <w:szCs w:val="22"/>
          <w:lang w:val="en-GB"/>
        </w:rPr>
      </w:pPr>
      <w:r w:rsidRPr="00B33EE6">
        <w:rPr>
          <w:rStyle w:val="Strong"/>
          <w:sz w:val="22"/>
          <w:szCs w:val="22"/>
          <w:lang w:val="en-GB"/>
        </w:rPr>
        <w:t>2</w:t>
      </w:r>
      <w:r w:rsidR="006714ED" w:rsidRPr="00B33EE6">
        <w:rPr>
          <w:rStyle w:val="Strong"/>
          <w:sz w:val="22"/>
          <w:szCs w:val="22"/>
          <w:lang w:val="en-GB"/>
        </w:rPr>
        <w:t>3</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Legal basis</w:t>
      </w:r>
    </w:p>
    <w:p w14:paraId="652695DE" w14:textId="77777777" w:rsidR="00052C86" w:rsidRPr="005C7233" w:rsidRDefault="00052C86" w:rsidP="00052C86">
      <w:pPr>
        <w:pStyle w:val="Blockquote"/>
        <w:jc w:val="both"/>
        <w:rPr>
          <w:sz w:val="22"/>
          <w:szCs w:val="22"/>
          <w:lang w:val="en-GB"/>
        </w:rPr>
      </w:pPr>
      <w:r w:rsidRPr="005C7233">
        <w:rPr>
          <w:sz w:val="22"/>
          <w:szCs w:val="22"/>
          <w:lang w:val="en-GB"/>
        </w:rPr>
        <w:t>•</w:t>
      </w:r>
      <w:r w:rsidRPr="005C7233">
        <w:rPr>
          <w:sz w:val="22"/>
          <w:szCs w:val="22"/>
          <w:lang w:val="en-GB"/>
        </w:rPr>
        <w:tab/>
        <w:t xml:space="preserve">Regulation (EU) No 236/2014 of the European Parliament and of the Council of 11 March 2014 laying down common rules and procedures for the implementation of the Union's instruments for financing external action </w:t>
      </w:r>
    </w:p>
    <w:p w14:paraId="145048B5" w14:textId="77777777" w:rsidR="00052C86" w:rsidRPr="005C7233" w:rsidRDefault="00052C86" w:rsidP="00052C86">
      <w:pPr>
        <w:pStyle w:val="Blockquote"/>
        <w:jc w:val="both"/>
        <w:rPr>
          <w:sz w:val="22"/>
          <w:szCs w:val="22"/>
          <w:lang w:val="en-GB"/>
        </w:rPr>
      </w:pPr>
      <w:r w:rsidRPr="005C7233">
        <w:rPr>
          <w:sz w:val="22"/>
          <w:szCs w:val="22"/>
          <w:lang w:val="en-GB"/>
        </w:rPr>
        <w:t>•</w:t>
      </w:r>
      <w:r w:rsidRPr="005C7233">
        <w:rPr>
          <w:sz w:val="22"/>
          <w:szCs w:val="22"/>
          <w:lang w:val="en-GB"/>
        </w:rPr>
        <w:tab/>
        <w:t xml:space="preserve">Commission Implementing Regulation (EU) No 447/2014 of 2 May 2014 on the specific rules for Implementing Regulation (EU) No 231/2014 of the European Parliament and of the </w:t>
      </w:r>
      <w:r w:rsidRPr="005C7233">
        <w:rPr>
          <w:sz w:val="22"/>
          <w:szCs w:val="22"/>
          <w:lang w:val="en-GB"/>
        </w:rPr>
        <w:lastRenderedPageBreak/>
        <w:t>Council establishing an instrument for Pre-accession Assistance (IPA II);</w:t>
      </w:r>
    </w:p>
    <w:p w14:paraId="6702002C" w14:textId="77777777" w:rsidR="00052C86" w:rsidRPr="005C7233" w:rsidRDefault="00052C86" w:rsidP="00052C86">
      <w:pPr>
        <w:pStyle w:val="Blockquote"/>
        <w:jc w:val="both"/>
        <w:rPr>
          <w:sz w:val="22"/>
          <w:szCs w:val="22"/>
          <w:lang w:val="en-GB"/>
        </w:rPr>
      </w:pPr>
      <w:r w:rsidRPr="005C7233">
        <w:rPr>
          <w:sz w:val="22"/>
          <w:szCs w:val="22"/>
          <w:lang w:val="en-GB"/>
        </w:rPr>
        <w:t>•</w:t>
      </w:r>
      <w:r w:rsidRPr="005C7233">
        <w:rPr>
          <w:sz w:val="22"/>
          <w:szCs w:val="22"/>
          <w:lang w:val="en-GB"/>
        </w:rPr>
        <w:tab/>
        <w:t>Regulation (EU) No 1299/2013 of the European Parliament and of the Council of 17 December 2013 on specific provisions for the support from the European Regional Development Fund to the European Territorial Cooperation goal;</w:t>
      </w:r>
    </w:p>
    <w:p w14:paraId="52CD8F92" w14:textId="77777777" w:rsidR="00052C86" w:rsidRPr="005C7233" w:rsidRDefault="00052C86" w:rsidP="00052C86">
      <w:pPr>
        <w:pStyle w:val="Blockquote"/>
        <w:jc w:val="both"/>
        <w:rPr>
          <w:sz w:val="22"/>
          <w:szCs w:val="22"/>
          <w:lang w:val="en-GB"/>
        </w:rPr>
      </w:pPr>
      <w:r w:rsidRPr="005C7233">
        <w:rPr>
          <w:sz w:val="22"/>
          <w:szCs w:val="22"/>
          <w:lang w:val="en-GB"/>
        </w:rPr>
        <w:t>•</w:t>
      </w:r>
      <w:r w:rsidRPr="005C7233">
        <w:rPr>
          <w:sz w:val="22"/>
          <w:szCs w:val="22"/>
          <w:lang w:val="en-GB"/>
        </w:rPr>
        <w:tab/>
        <w:t>Commission Delegated Regulation (EU) No 481/2014 of 4 March 2014 supplementing Regulation (EU) No 1299/2013 of the European Parliament and of the Council with regard to specific rules on eligibility of expenditure for cooperation programmes;</w:t>
      </w:r>
    </w:p>
    <w:p w14:paraId="3309A9FC" w14:textId="77777777" w:rsidR="00052C86" w:rsidRPr="005C7233" w:rsidRDefault="00052C86" w:rsidP="00052C86">
      <w:pPr>
        <w:pStyle w:val="Blockquote"/>
        <w:jc w:val="both"/>
        <w:rPr>
          <w:sz w:val="22"/>
          <w:szCs w:val="22"/>
          <w:lang w:val="en-GB"/>
        </w:rPr>
      </w:pPr>
      <w:r w:rsidRPr="005C7233">
        <w:rPr>
          <w:sz w:val="22"/>
          <w:szCs w:val="22"/>
          <w:lang w:val="en-GB"/>
        </w:rPr>
        <w:t>•</w:t>
      </w:r>
      <w:r w:rsidRPr="005C7233">
        <w:rPr>
          <w:sz w:val="22"/>
          <w:szCs w:val="22"/>
          <w:lang w:val="en-GB"/>
        </w:rPr>
        <w:tab/>
        <w:t>Regulation (EU) No 236/2014 of the European Parliament and of the Council of 11 March 2014 laying down common rules and procedures for the implementation of the union's instruments for financing external action;</w:t>
      </w:r>
    </w:p>
    <w:p w14:paraId="14CAE923" w14:textId="77777777" w:rsidR="00052C86" w:rsidRPr="005C7233" w:rsidRDefault="00052C86" w:rsidP="00052C86">
      <w:pPr>
        <w:pStyle w:val="Blockquote"/>
        <w:jc w:val="both"/>
        <w:rPr>
          <w:sz w:val="22"/>
          <w:szCs w:val="22"/>
          <w:lang w:val="en-GB"/>
        </w:rPr>
      </w:pPr>
      <w:r w:rsidRPr="005C7233">
        <w:rPr>
          <w:sz w:val="22"/>
          <w:szCs w:val="22"/>
          <w:lang w:val="en-GB"/>
        </w:rPr>
        <w:t>•</w:t>
      </w:r>
      <w:r w:rsidRPr="005C7233">
        <w:rPr>
          <w:sz w:val="22"/>
          <w:szCs w:val="22"/>
          <w:lang w:val="en-GB"/>
        </w:rPr>
        <w:tab/>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475EAD38" w14:textId="77777777" w:rsidR="00052C86" w:rsidRPr="005C7233" w:rsidRDefault="00052C86" w:rsidP="00052C86">
      <w:pPr>
        <w:pStyle w:val="Blockquote"/>
        <w:jc w:val="both"/>
        <w:rPr>
          <w:sz w:val="22"/>
          <w:szCs w:val="22"/>
          <w:lang w:val="en-GB"/>
        </w:rPr>
      </w:pPr>
      <w:r w:rsidRPr="005C7233">
        <w:rPr>
          <w:sz w:val="22"/>
          <w:szCs w:val="22"/>
          <w:lang w:val="en-GB"/>
        </w:rPr>
        <w:t>•</w:t>
      </w:r>
      <w:r w:rsidRPr="005C7233">
        <w:rPr>
          <w:sz w:val="22"/>
          <w:szCs w:val="22"/>
          <w:lang w:val="en-GB"/>
        </w:rPr>
        <w:tab/>
        <w:t>Regulation (EU, EURATOM) No 966/2012 of the European Parliament and of the Council of 25 October 2012 on the financial rules applicable to the general budget of the Union and repealing Council Regulation (EC, EURATOM) No 1605/2002;</w:t>
      </w:r>
    </w:p>
    <w:p w14:paraId="16281E74" w14:textId="77777777" w:rsidR="00052C86" w:rsidRPr="005C7233" w:rsidRDefault="00052C86" w:rsidP="00052C86">
      <w:pPr>
        <w:pStyle w:val="Blockquote"/>
        <w:jc w:val="both"/>
        <w:rPr>
          <w:sz w:val="22"/>
          <w:szCs w:val="22"/>
          <w:lang w:val="en-GB"/>
        </w:rPr>
      </w:pPr>
      <w:r w:rsidRPr="005C7233">
        <w:rPr>
          <w:sz w:val="22"/>
          <w:szCs w:val="22"/>
          <w:lang w:val="en-GB"/>
        </w:rPr>
        <w:t>•</w:t>
      </w:r>
      <w:r w:rsidRPr="005C7233">
        <w:rPr>
          <w:sz w:val="22"/>
          <w:szCs w:val="22"/>
          <w:lang w:val="en-GB"/>
        </w:rPr>
        <w:tab/>
        <w:t>Commission Delegated Regulation (EU) No 1268/2012 of 29 October 2012 on the rules of application of Regulation (EU, EURATOM) No 966/2012 of the European Parliament and of the Council on the financial rules applicable to the general budget of the Union;</w:t>
      </w:r>
    </w:p>
    <w:p w14:paraId="719E4C06" w14:textId="1C250B34" w:rsidR="00052C86" w:rsidRDefault="00052C86" w:rsidP="00052C86">
      <w:pPr>
        <w:pStyle w:val="Blockquote"/>
        <w:spacing w:before="120" w:after="0"/>
        <w:ind w:left="426" w:right="310"/>
        <w:jc w:val="both"/>
        <w:rPr>
          <w:sz w:val="22"/>
          <w:szCs w:val="22"/>
          <w:lang w:val="en-GB"/>
        </w:rPr>
      </w:pPr>
      <w:r w:rsidRPr="005C7233">
        <w:rPr>
          <w:sz w:val="22"/>
          <w:szCs w:val="22"/>
          <w:lang w:val="en-GB"/>
        </w:rPr>
        <w:t>•</w:t>
      </w:r>
      <w:r w:rsidRPr="005C7233">
        <w:rPr>
          <w:sz w:val="22"/>
          <w:szCs w:val="22"/>
          <w:lang w:val="en-GB"/>
        </w:rPr>
        <w:tab/>
        <w:t>Regulation (EU, EURATOM) 2015/1929 of the European Parliament and of the Council of 28 October 2015 amending Regulation (EU, EURATOM) No 966/2012 on the financial rules applicable to the general budget of the Union; Commission Delegated Regulation (EU) 2015/2462 of 30 October 2015 amending delegated regulation (EU) No 1268/2012 on the rules of application of Regulation (EU, EURATOM) No 966/2012 of the European Parliament and of the Council on the financial rules applicable to the general budget of the Union.</w:t>
      </w:r>
    </w:p>
    <w:p w14:paraId="17B20C00" w14:textId="77777777" w:rsidR="00575124" w:rsidRPr="00B33EE6" w:rsidRDefault="00575124" w:rsidP="00052C86">
      <w:pPr>
        <w:pStyle w:val="Blockquote"/>
        <w:spacing w:before="120" w:after="0"/>
        <w:ind w:left="0" w:right="310"/>
        <w:jc w:val="both"/>
        <w:rPr>
          <w:sz w:val="22"/>
          <w:szCs w:val="22"/>
          <w:lang w:val="en-GB"/>
        </w:rPr>
      </w:pPr>
    </w:p>
    <w:p w14:paraId="19DC542A" w14:textId="77777777" w:rsidR="00E9047D" w:rsidRPr="00F9055E" w:rsidRDefault="00C0772E" w:rsidP="00E9047D">
      <w:pPr>
        <w:pStyle w:val="Blockquote"/>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p w14:paraId="310A48D9" w14:textId="58090DA3" w:rsidR="007F6AA9" w:rsidRPr="0069606B" w:rsidRDefault="00AF412E" w:rsidP="0069606B">
      <w:pPr>
        <w:widowControl/>
        <w:snapToGrid w:val="0"/>
        <w:spacing w:after="0"/>
        <w:ind w:left="360" w:right="360"/>
        <w:jc w:val="both"/>
        <w:rPr>
          <w:lang w:val="bg-BG"/>
        </w:rPr>
      </w:pPr>
      <w:r w:rsidRPr="0069606B">
        <w:rPr>
          <w:lang w:val="en-GB"/>
        </w:rPr>
        <w:t xml:space="preserve">Financial data to be provided by the candidate in the standard application form must be expressed in EUR. If applicable, where a candidate refers to amounts originally expressed in a different currency, the conversion to EUR shall be made in accordance with the </w:t>
      </w:r>
      <w:proofErr w:type="spellStart"/>
      <w:r w:rsidRPr="0069606B">
        <w:rPr>
          <w:lang w:val="en-GB"/>
        </w:rPr>
        <w:lastRenderedPageBreak/>
        <w:t>InforEuro</w:t>
      </w:r>
      <w:proofErr w:type="spellEnd"/>
      <w:r w:rsidRPr="0069606B">
        <w:rPr>
          <w:lang w:val="en-GB"/>
        </w:rPr>
        <w:t xml:space="preserve"> exchange rate of </w:t>
      </w:r>
      <w:r w:rsidR="0069606B" w:rsidRPr="0069606B">
        <w:rPr>
          <w:lang w:val="en-GB"/>
        </w:rPr>
        <w:t xml:space="preserve">the </w:t>
      </w:r>
      <w:r w:rsidRPr="0069606B">
        <w:rPr>
          <w:b/>
          <w:lang w:val="en-GB"/>
        </w:rPr>
        <w:t>MONTH</w:t>
      </w:r>
      <w:r w:rsidRPr="0069606B">
        <w:rPr>
          <w:lang w:val="en-GB"/>
        </w:rPr>
        <w:t>, which can be found at the following address:</w:t>
      </w:r>
      <w:r>
        <w:rPr>
          <w:lang w:val="en-GB"/>
        </w:rPr>
        <w:t xml:space="preserve"> </w:t>
      </w:r>
      <w:hyperlink r:id="rId10" w:history="1">
        <w:r w:rsidRPr="00AB6029">
          <w:rPr>
            <w:rStyle w:val="Hyperlink"/>
            <w:lang w:val="en-GB"/>
          </w:rPr>
          <w:t>http://ec.europa.eu/budget/graphs/inforeuro.html</w:t>
        </w:r>
      </w:hyperlink>
      <w:r>
        <w:rPr>
          <w:lang w:val="en-GB"/>
        </w:rPr>
        <w:t>.</w:t>
      </w:r>
      <w:r w:rsidR="00724794">
        <w:rPr>
          <w:lang w:val="bg-BG"/>
        </w:rPr>
        <w:t xml:space="preserve"> </w:t>
      </w:r>
    </w:p>
    <w:sectPr w:rsidR="007F6AA9" w:rsidRPr="0069606B" w:rsidSect="00E147D3">
      <w:headerReference w:type="default" r:id="rId11"/>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4A2F0F" w14:textId="77777777" w:rsidR="00B05BBC" w:rsidRDefault="00B05BBC">
      <w:r>
        <w:separator/>
      </w:r>
    </w:p>
  </w:endnote>
  <w:endnote w:type="continuationSeparator" w:id="0">
    <w:p w14:paraId="480E94AA" w14:textId="77777777" w:rsidR="00B05BBC" w:rsidRDefault="00B05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52277" w14:textId="77777777" w:rsidR="005B7900" w:rsidRPr="005B7900" w:rsidRDefault="00B05BBC" w:rsidP="005B7900">
    <w:pPr>
      <w:widowControl/>
      <w:tabs>
        <w:tab w:val="center" w:pos="4680"/>
        <w:tab w:val="right" w:pos="9360"/>
      </w:tabs>
      <w:spacing w:before="0" w:after="0"/>
      <w:rPr>
        <w:rFonts w:ascii="Calibri" w:eastAsia="Calibri" w:hAnsi="Calibri"/>
        <w:snapToGrid/>
        <w:sz w:val="22"/>
        <w:szCs w:val="22"/>
      </w:rPr>
    </w:pPr>
    <w:r>
      <w:rPr>
        <w:noProof/>
      </w:rPr>
      <w:pict w14:anchorId="38206D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2049" type="#_x0000_t75" alt="logoAIRKostinbrod" style="position:absolute;margin-left:47.8pt;margin-top:7.65pt;width:99pt;height:52.8pt;z-index:1;visibility:visible;mso-wrap-style:square;mso-wrap-edited:f;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v:imagedata r:id="rId1" o:title="logoAIRKostinbrod"/>
          <w10:wrap anchorx="margin"/>
        </v:shape>
      </w:pict>
    </w:r>
    <w:r w:rsidRPr="00B05BBC">
      <w:rPr>
        <w:rFonts w:ascii="Calibri" w:eastAsia="Calibri" w:hAnsi="Calibri"/>
        <w:noProof/>
        <w:snapToGrid/>
        <w:sz w:val="22"/>
        <w:szCs w:val="22"/>
      </w:rPr>
      <w:pict w14:anchorId="2DFF0CD0">
        <v:shape id="Picture 9" o:spid="_x0000_i1025" type="#_x0000_t75" alt="logo - Copy" style="width:94.95pt;height:68.85pt;visibility:visible;mso-wrap-style:square;mso-width-percent:0;mso-height-percent:0;mso-width-percent:0;mso-height-percent:0">
          <v:imagedata r:id="rId2" o:title="logo - Copy"/>
        </v:shape>
      </w:pict>
    </w:r>
    <w:r w:rsidR="005B7900" w:rsidRPr="005B7900">
      <w:rPr>
        <w:rFonts w:ascii="Calibri" w:eastAsia="Calibri" w:hAnsi="Calibri"/>
        <w:snapToGrid/>
        <w:sz w:val="22"/>
        <w:szCs w:val="22"/>
      </w:rPr>
      <w:tab/>
    </w:r>
  </w:p>
  <w:p w14:paraId="59C8137C" w14:textId="77777777" w:rsidR="00EF0A8C" w:rsidRPr="00B33EE6" w:rsidRDefault="00BE5F29" w:rsidP="00F9055E">
    <w:pPr>
      <w:pStyle w:val="Footer"/>
      <w:tabs>
        <w:tab w:val="clear" w:pos="4320"/>
        <w:tab w:val="clear" w:pos="8640"/>
        <w:tab w:val="right" w:pos="9214"/>
      </w:tabs>
      <w:spacing w:before="120" w:after="0"/>
      <w:rPr>
        <w:b/>
        <w:sz w:val="20"/>
        <w:lang w:val="en-GB"/>
      </w:rPr>
    </w:pPr>
    <w:r>
      <w:rPr>
        <w:b/>
        <w:sz w:val="20"/>
      </w:rPr>
      <w:t>July</w:t>
    </w:r>
    <w:r w:rsidR="00954FB8" w:rsidRPr="002A00A4">
      <w:rPr>
        <w:b/>
        <w:sz w:val="20"/>
      </w:rPr>
      <w:t xml:space="preserve"> 201</w:t>
    </w:r>
    <w:r>
      <w:rPr>
        <w:sz w:val="20"/>
      </w:rPr>
      <w:t>9</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Pr>
        <w:rStyle w:val="PageNumber"/>
        <w:noProof/>
        <w:sz w:val="18"/>
        <w:szCs w:val="18"/>
        <w:lang w:val="en-GB"/>
      </w:rPr>
      <w:t>6</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Pr>
        <w:rStyle w:val="PageNumber"/>
        <w:noProof/>
        <w:sz w:val="18"/>
        <w:szCs w:val="18"/>
        <w:lang w:val="en-GB"/>
      </w:rPr>
      <w:t>9</w:t>
    </w:r>
    <w:r w:rsidR="00B33EE6" w:rsidRPr="00B33EE6">
      <w:rPr>
        <w:rStyle w:val="PageNumber"/>
        <w:sz w:val="18"/>
        <w:szCs w:val="18"/>
        <w:lang w:val="en-GB"/>
      </w:rPr>
      <w:fldChar w:fldCharType="end"/>
    </w:r>
  </w:p>
  <w:p w14:paraId="6BA0573B"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FE1E11" w14:textId="77777777" w:rsidR="00B05BBC" w:rsidRDefault="00B05BBC">
      <w:r>
        <w:separator/>
      </w:r>
    </w:p>
  </w:footnote>
  <w:footnote w:type="continuationSeparator" w:id="0">
    <w:p w14:paraId="378012FE" w14:textId="77777777" w:rsidR="00B05BBC" w:rsidRDefault="00B05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90" w:type="dxa"/>
      <w:tblInd w:w="-572" w:type="dxa"/>
      <w:tblLook w:val="04A0" w:firstRow="1" w:lastRow="0" w:firstColumn="1" w:lastColumn="0" w:noHBand="0" w:noVBand="1"/>
    </w:tblPr>
    <w:tblGrid>
      <w:gridCol w:w="4395"/>
      <w:gridCol w:w="1984"/>
      <w:gridCol w:w="4111"/>
    </w:tblGrid>
    <w:tr w:rsidR="004136CC" w:rsidRPr="005B7900" w14:paraId="7305787C" w14:textId="77777777" w:rsidTr="004136CC">
      <w:tc>
        <w:tcPr>
          <w:tcW w:w="4395" w:type="dxa"/>
          <w:tcBorders>
            <w:bottom w:val="single" w:sz="12" w:space="0" w:color="002060"/>
          </w:tcBorders>
          <w:shd w:val="clear" w:color="auto" w:fill="auto"/>
        </w:tcPr>
        <w:p w14:paraId="6BB1FE2E" w14:textId="77777777" w:rsidR="005B7900" w:rsidRPr="005B7900" w:rsidRDefault="00B05BBC" w:rsidP="004136CC">
          <w:pPr>
            <w:widowControl/>
            <w:tabs>
              <w:tab w:val="center" w:pos="4680"/>
              <w:tab w:val="right" w:pos="9360"/>
            </w:tabs>
            <w:spacing w:before="0" w:after="0"/>
            <w:rPr>
              <w:rFonts w:ascii="Calibri" w:eastAsia="Calibri" w:hAnsi="Calibri"/>
              <w:sz w:val="22"/>
              <w:szCs w:val="22"/>
            </w:rPr>
          </w:pPr>
          <w:r w:rsidRPr="00B05BBC">
            <w:rPr>
              <w:rFonts w:ascii="Calibri" w:eastAsia="Calibri" w:hAnsi="Calibri"/>
              <w:noProof/>
              <w:snapToGrid/>
              <w:sz w:val="22"/>
              <w:szCs w:val="22"/>
            </w:rPr>
            <w:pict w14:anchorId="5CDEE4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i1026" type="#_x0000_t75" alt="" style="width:208.1pt;height:48.25pt;visibility:visible;mso-wrap-style:square;mso-width-percent:0;mso-height-percent:0;mso-width-percent:0;mso-height-percent:0">
                <v:imagedata r:id="rId1" o:title=""/>
              </v:shape>
            </w:pict>
          </w:r>
        </w:p>
      </w:tc>
      <w:tc>
        <w:tcPr>
          <w:tcW w:w="1984" w:type="dxa"/>
          <w:tcBorders>
            <w:bottom w:val="single" w:sz="12" w:space="0" w:color="002060"/>
          </w:tcBorders>
          <w:shd w:val="clear" w:color="auto" w:fill="auto"/>
        </w:tcPr>
        <w:p w14:paraId="26712166" w14:textId="77777777" w:rsidR="005B7900" w:rsidRPr="005B7900" w:rsidRDefault="005B7900" w:rsidP="004136CC">
          <w:pPr>
            <w:widowControl/>
            <w:tabs>
              <w:tab w:val="center" w:pos="4680"/>
              <w:tab w:val="right" w:pos="9360"/>
            </w:tabs>
            <w:spacing w:before="0" w:after="0"/>
            <w:rPr>
              <w:rFonts w:ascii="Calibri" w:eastAsia="Calibri" w:hAnsi="Calibri"/>
              <w:sz w:val="22"/>
              <w:szCs w:val="22"/>
            </w:rPr>
          </w:pPr>
        </w:p>
      </w:tc>
      <w:tc>
        <w:tcPr>
          <w:tcW w:w="4111" w:type="dxa"/>
          <w:shd w:val="clear" w:color="auto" w:fill="auto"/>
        </w:tcPr>
        <w:p w14:paraId="5D1B151A" w14:textId="77777777" w:rsidR="005B7900" w:rsidRPr="005B7900" w:rsidRDefault="00B05BBC" w:rsidP="004136CC">
          <w:pPr>
            <w:widowControl/>
            <w:tabs>
              <w:tab w:val="center" w:pos="4680"/>
              <w:tab w:val="right" w:pos="9360"/>
            </w:tabs>
            <w:spacing w:before="0" w:after="0"/>
            <w:jc w:val="right"/>
            <w:rPr>
              <w:rFonts w:ascii="Calibri" w:eastAsia="Calibri" w:hAnsi="Calibri"/>
              <w:sz w:val="22"/>
              <w:szCs w:val="22"/>
            </w:rPr>
          </w:pPr>
          <w:r>
            <w:rPr>
              <w:noProof/>
            </w:rPr>
            <w:pict w14:anchorId="5C138C8E">
              <v:shape id="Picture 6" o:spid="_x0000_s2050" type="#_x0000_t75" alt="" style="position:absolute;left:0;text-align:left;margin-left:109.35pt;margin-top:-12.15pt;width:77.45pt;height:52.75pt;z-index: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2" o:title=""/>
              </v:shape>
            </w:pict>
          </w:r>
        </w:p>
      </w:tc>
    </w:tr>
    <w:tr w:rsidR="004136CC" w:rsidRPr="005B7900" w14:paraId="024B6F60" w14:textId="77777777" w:rsidTr="004136CC">
      <w:tc>
        <w:tcPr>
          <w:tcW w:w="10490" w:type="dxa"/>
          <w:gridSpan w:val="3"/>
          <w:tcBorders>
            <w:top w:val="single" w:sz="12" w:space="0" w:color="002060"/>
          </w:tcBorders>
          <w:shd w:val="clear" w:color="auto" w:fill="auto"/>
        </w:tcPr>
        <w:p w14:paraId="33EC186C" w14:textId="77777777" w:rsidR="005B7900" w:rsidRPr="005B7900" w:rsidRDefault="005B7900" w:rsidP="004136CC">
          <w:pPr>
            <w:widowControl/>
            <w:tabs>
              <w:tab w:val="center" w:pos="4536"/>
              <w:tab w:val="right" w:pos="9072"/>
            </w:tabs>
            <w:spacing w:before="0" w:after="0"/>
            <w:jc w:val="center"/>
            <w:rPr>
              <w:rFonts w:ascii="Corbel" w:eastAsia="Calibri" w:hAnsi="Corbel"/>
              <w:color w:val="92D050"/>
              <w:sz w:val="22"/>
              <w:szCs w:val="22"/>
              <w:lang w:val="it-IT"/>
            </w:rPr>
          </w:pPr>
        </w:p>
        <w:p w14:paraId="0371A5F4" w14:textId="77777777" w:rsidR="005B7900" w:rsidRPr="005B7900" w:rsidRDefault="005B7900" w:rsidP="004136CC">
          <w:pPr>
            <w:widowControl/>
            <w:tabs>
              <w:tab w:val="center" w:pos="4536"/>
              <w:tab w:val="right" w:pos="9072"/>
            </w:tabs>
            <w:spacing w:before="0" w:after="0"/>
            <w:jc w:val="center"/>
            <w:rPr>
              <w:rFonts w:ascii="Corbel" w:eastAsia="Calibri" w:hAnsi="Corbel"/>
              <w:color w:val="92D050"/>
              <w:sz w:val="22"/>
              <w:szCs w:val="22"/>
              <w:lang w:val="it-IT"/>
            </w:rPr>
          </w:pPr>
          <w:r w:rsidRPr="005B7900">
            <w:rPr>
              <w:rFonts w:ascii="Corbel" w:eastAsia="Calibri" w:hAnsi="Corbel"/>
              <w:color w:val="92D050"/>
              <w:sz w:val="22"/>
              <w:szCs w:val="22"/>
              <w:lang w:val="it-IT"/>
            </w:rPr>
            <w:t xml:space="preserve">“Via </w:t>
          </w:r>
          <w:proofErr w:type="spellStart"/>
          <w:r w:rsidRPr="005B7900">
            <w:rPr>
              <w:rFonts w:ascii="Corbel" w:eastAsia="Calibri" w:hAnsi="Corbel"/>
              <w:color w:val="92D050"/>
              <w:sz w:val="22"/>
              <w:szCs w:val="22"/>
              <w:lang w:val="it-IT"/>
            </w:rPr>
            <w:t>Militaris</w:t>
          </w:r>
          <w:proofErr w:type="spellEnd"/>
          <w:r w:rsidRPr="005B7900">
            <w:rPr>
              <w:rFonts w:ascii="Corbel" w:eastAsia="Calibri" w:hAnsi="Corbel"/>
              <w:color w:val="92D050"/>
              <w:sz w:val="22"/>
              <w:szCs w:val="22"/>
              <w:lang w:val="it-IT"/>
            </w:rPr>
            <w:t xml:space="preserve">-A </w:t>
          </w:r>
          <w:proofErr w:type="spellStart"/>
          <w:r w:rsidRPr="005B7900">
            <w:rPr>
              <w:rFonts w:ascii="Corbel" w:eastAsia="Calibri" w:hAnsi="Corbel"/>
              <w:color w:val="92D050"/>
              <w:sz w:val="22"/>
              <w:szCs w:val="22"/>
              <w:lang w:val="it-IT"/>
            </w:rPr>
            <w:t>Corridor</w:t>
          </w:r>
          <w:proofErr w:type="spellEnd"/>
          <w:r w:rsidRPr="005B7900">
            <w:rPr>
              <w:rFonts w:ascii="Corbel" w:eastAsia="Calibri" w:hAnsi="Corbel"/>
              <w:color w:val="92D050"/>
              <w:sz w:val="22"/>
              <w:szCs w:val="22"/>
              <w:lang w:val="it-IT"/>
            </w:rPr>
            <w:t xml:space="preserve"> for </w:t>
          </w:r>
          <w:proofErr w:type="spellStart"/>
          <w:r w:rsidRPr="005B7900">
            <w:rPr>
              <w:rFonts w:ascii="Corbel" w:eastAsia="Calibri" w:hAnsi="Corbel"/>
              <w:color w:val="92D050"/>
              <w:sz w:val="22"/>
              <w:szCs w:val="22"/>
              <w:lang w:val="it-IT"/>
            </w:rPr>
            <w:t>Sustainable</w:t>
          </w:r>
          <w:proofErr w:type="spellEnd"/>
          <w:r w:rsidRPr="005B7900">
            <w:rPr>
              <w:rFonts w:ascii="Corbel" w:eastAsia="Calibri" w:hAnsi="Corbel"/>
              <w:color w:val="92D050"/>
              <w:sz w:val="22"/>
              <w:szCs w:val="22"/>
              <w:lang w:val="it-IT"/>
            </w:rPr>
            <w:t xml:space="preserve"> </w:t>
          </w:r>
          <w:proofErr w:type="spellStart"/>
          <w:r w:rsidRPr="005B7900">
            <w:rPr>
              <w:rFonts w:ascii="Corbel" w:eastAsia="Calibri" w:hAnsi="Corbel"/>
              <w:color w:val="92D050"/>
              <w:sz w:val="22"/>
              <w:szCs w:val="22"/>
              <w:lang w:val="it-IT"/>
            </w:rPr>
            <w:t>Tourism</w:t>
          </w:r>
          <w:proofErr w:type="spellEnd"/>
          <w:r w:rsidRPr="005B7900">
            <w:rPr>
              <w:rFonts w:ascii="Corbel" w:eastAsia="Calibri" w:hAnsi="Corbel"/>
              <w:color w:val="92D050"/>
              <w:sz w:val="22"/>
              <w:szCs w:val="22"/>
              <w:lang w:val="it-IT"/>
            </w:rPr>
            <w:t xml:space="preserve"> Development”; </w:t>
          </w:r>
          <w:proofErr w:type="spellStart"/>
          <w:r w:rsidRPr="005B7900">
            <w:rPr>
              <w:rFonts w:ascii="Corbel" w:eastAsia="Calibri" w:hAnsi="Corbel"/>
              <w:color w:val="92D050"/>
              <w:sz w:val="22"/>
              <w:szCs w:val="22"/>
              <w:lang w:val="it-IT"/>
            </w:rPr>
            <w:t>Ref</w:t>
          </w:r>
          <w:proofErr w:type="spellEnd"/>
          <w:r w:rsidRPr="005B7900">
            <w:rPr>
              <w:rFonts w:ascii="Corbel" w:eastAsia="Calibri" w:hAnsi="Corbel"/>
              <w:color w:val="92D050"/>
              <w:sz w:val="22"/>
              <w:szCs w:val="22"/>
              <w:lang w:val="it-IT"/>
            </w:rPr>
            <w:t>. No.CB007.2.12.032.</w:t>
          </w:r>
        </w:p>
        <w:p w14:paraId="39F83664" w14:textId="77777777" w:rsidR="005B7900" w:rsidRPr="005B7900" w:rsidRDefault="005B7900" w:rsidP="004136CC">
          <w:pPr>
            <w:widowControl/>
            <w:tabs>
              <w:tab w:val="center" w:pos="4680"/>
              <w:tab w:val="right" w:pos="9360"/>
            </w:tabs>
            <w:spacing w:before="0" w:after="0"/>
            <w:jc w:val="center"/>
            <w:rPr>
              <w:rFonts w:ascii="Calibri" w:eastAsia="Calibri" w:hAnsi="Calibri"/>
              <w:noProof/>
              <w:sz w:val="22"/>
              <w:szCs w:val="22"/>
            </w:rPr>
          </w:pPr>
          <w:r w:rsidRPr="005B7900">
            <w:rPr>
              <w:rFonts w:ascii="Corbel" w:eastAsia="Calibri" w:hAnsi="Corbel"/>
              <w:color w:val="92D050"/>
              <w:sz w:val="22"/>
              <w:szCs w:val="22"/>
              <w:lang w:val="it-IT"/>
            </w:rPr>
            <w:t xml:space="preserve">The </w:t>
          </w:r>
          <w:proofErr w:type="spellStart"/>
          <w:r w:rsidRPr="005B7900">
            <w:rPr>
              <w:rFonts w:ascii="Corbel" w:eastAsia="Calibri" w:hAnsi="Corbel"/>
              <w:color w:val="92D050"/>
              <w:sz w:val="22"/>
              <w:szCs w:val="22"/>
              <w:lang w:val="it-IT"/>
            </w:rPr>
            <w:t>project</w:t>
          </w:r>
          <w:proofErr w:type="spellEnd"/>
          <w:r w:rsidRPr="005B7900">
            <w:rPr>
              <w:rFonts w:ascii="Corbel" w:eastAsia="Calibri" w:hAnsi="Corbel"/>
              <w:color w:val="92D050"/>
              <w:sz w:val="22"/>
              <w:szCs w:val="22"/>
              <w:lang w:val="it-IT"/>
            </w:rPr>
            <w:t xml:space="preserve"> </w:t>
          </w:r>
          <w:proofErr w:type="spellStart"/>
          <w:r w:rsidRPr="005B7900">
            <w:rPr>
              <w:rFonts w:ascii="Corbel" w:eastAsia="Calibri" w:hAnsi="Corbel"/>
              <w:color w:val="92D050"/>
              <w:sz w:val="22"/>
              <w:szCs w:val="22"/>
              <w:lang w:val="it-IT"/>
            </w:rPr>
            <w:t>is</w:t>
          </w:r>
          <w:proofErr w:type="spellEnd"/>
          <w:r w:rsidRPr="005B7900">
            <w:rPr>
              <w:rFonts w:ascii="Corbel" w:eastAsia="Calibri" w:hAnsi="Corbel"/>
              <w:color w:val="92D050"/>
              <w:sz w:val="22"/>
              <w:szCs w:val="22"/>
              <w:lang w:val="it-IT"/>
            </w:rPr>
            <w:t xml:space="preserve"> co-</w:t>
          </w:r>
          <w:proofErr w:type="spellStart"/>
          <w:r w:rsidRPr="005B7900">
            <w:rPr>
              <w:rFonts w:ascii="Corbel" w:eastAsia="Calibri" w:hAnsi="Corbel"/>
              <w:color w:val="92D050"/>
              <w:sz w:val="22"/>
              <w:szCs w:val="22"/>
              <w:lang w:val="it-IT"/>
            </w:rPr>
            <w:t>funded</w:t>
          </w:r>
          <w:proofErr w:type="spellEnd"/>
          <w:r w:rsidRPr="005B7900">
            <w:rPr>
              <w:rFonts w:ascii="Corbel" w:eastAsia="Calibri" w:hAnsi="Corbel"/>
              <w:color w:val="92D050"/>
              <w:sz w:val="22"/>
              <w:szCs w:val="22"/>
              <w:lang w:val="it-IT"/>
            </w:rPr>
            <w:t xml:space="preserve"> by EU </w:t>
          </w:r>
          <w:proofErr w:type="spellStart"/>
          <w:r w:rsidRPr="005B7900">
            <w:rPr>
              <w:rFonts w:ascii="Corbel" w:eastAsia="Calibri" w:hAnsi="Corbel"/>
              <w:color w:val="92D050"/>
              <w:sz w:val="22"/>
              <w:szCs w:val="22"/>
              <w:lang w:val="it-IT"/>
            </w:rPr>
            <w:t>through</w:t>
          </w:r>
          <w:proofErr w:type="spellEnd"/>
          <w:r w:rsidRPr="005B7900">
            <w:rPr>
              <w:rFonts w:ascii="Corbel" w:eastAsia="Calibri" w:hAnsi="Corbel"/>
              <w:color w:val="92D050"/>
              <w:sz w:val="22"/>
              <w:szCs w:val="22"/>
              <w:lang w:val="it-IT"/>
            </w:rPr>
            <w:t xml:space="preserve"> the Interreg-IPA CBC Bulgaria–Serbia Programme.</w:t>
          </w:r>
        </w:p>
      </w:tc>
    </w:tr>
  </w:tbl>
  <w:p w14:paraId="22FC6F92" w14:textId="77777777" w:rsidR="005B7900" w:rsidRDefault="005B7900" w:rsidP="005B79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95356"/>
    <w:multiLevelType w:val="hybridMultilevel"/>
    <w:tmpl w:val="9F78416C"/>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965670A"/>
    <w:multiLevelType w:val="hybridMultilevel"/>
    <w:tmpl w:val="E2F6A56E"/>
    <w:lvl w:ilvl="0" w:tplc="DAFA4942">
      <w:start w:val="1"/>
      <w:numFmt w:val="decimal"/>
      <w:lvlText w:val="%1)"/>
      <w:lvlJc w:val="left"/>
      <w:pPr>
        <w:ind w:left="717" w:hanging="360"/>
      </w:pPr>
      <w:rPr>
        <w:rFonts w:hint="default"/>
        <w:b/>
        <w:u w:val="singl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B755C62"/>
    <w:multiLevelType w:val="hybridMultilevel"/>
    <w:tmpl w:val="C2C0B7A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25071C"/>
    <w:multiLevelType w:val="hybridMultilevel"/>
    <w:tmpl w:val="4FDCFDA4"/>
    <w:lvl w:ilvl="0" w:tplc="04020011">
      <w:start w:val="1"/>
      <w:numFmt w:val="decimal"/>
      <w:lvlText w:val="%1)"/>
      <w:lvlJc w:val="left"/>
      <w:pPr>
        <w:ind w:left="719" w:hanging="435"/>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6" w15:restartNumberingAfterBreak="0">
    <w:nsid w:val="749E1972"/>
    <w:multiLevelType w:val="hybridMultilevel"/>
    <w:tmpl w:val="B92A1C9E"/>
    <w:lvl w:ilvl="0" w:tplc="04090017">
      <w:start w:val="1"/>
      <w:numFmt w:val="lowerLetter"/>
      <w:lvlText w:val="%1)"/>
      <w:lvlJc w:val="left"/>
      <w:pPr>
        <w:ind w:left="1077" w:hanging="360"/>
      </w:pPr>
      <w:rPr>
        <w:rFont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num w:numId="1">
    <w:abstractNumId w:val="2"/>
  </w:num>
  <w:num w:numId="2">
    <w:abstractNumId w:val="5"/>
  </w:num>
  <w:num w:numId="3">
    <w:abstractNumId w:val="1"/>
  </w:num>
  <w:num w:numId="4">
    <w:abstractNumId w:val="0"/>
  </w:num>
  <w:num w:numId="5">
    <w:abstractNumId w:val="6"/>
  </w:num>
  <w:num w:numId="6">
    <w:abstractNumId w:val="4"/>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46A5C"/>
    <w:rsid w:val="00051D1D"/>
    <w:rsid w:val="00052C86"/>
    <w:rsid w:val="00063FB5"/>
    <w:rsid w:val="00087A72"/>
    <w:rsid w:val="00095030"/>
    <w:rsid w:val="00095DE4"/>
    <w:rsid w:val="000A0D57"/>
    <w:rsid w:val="000A3758"/>
    <w:rsid w:val="000B2A37"/>
    <w:rsid w:val="000B693E"/>
    <w:rsid w:val="000B7C91"/>
    <w:rsid w:val="000C1101"/>
    <w:rsid w:val="000C1522"/>
    <w:rsid w:val="000D1732"/>
    <w:rsid w:val="000D3EBF"/>
    <w:rsid w:val="000E4709"/>
    <w:rsid w:val="000F0F6C"/>
    <w:rsid w:val="000F1340"/>
    <w:rsid w:val="000F5DEF"/>
    <w:rsid w:val="0010162C"/>
    <w:rsid w:val="00105302"/>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13E27"/>
    <w:rsid w:val="00313F6B"/>
    <w:rsid w:val="00320268"/>
    <w:rsid w:val="00322D52"/>
    <w:rsid w:val="003232ED"/>
    <w:rsid w:val="00323BDD"/>
    <w:rsid w:val="003262FC"/>
    <w:rsid w:val="00330261"/>
    <w:rsid w:val="00333D98"/>
    <w:rsid w:val="003378F6"/>
    <w:rsid w:val="00342E7F"/>
    <w:rsid w:val="00346C49"/>
    <w:rsid w:val="00347673"/>
    <w:rsid w:val="003479EF"/>
    <w:rsid w:val="003574F5"/>
    <w:rsid w:val="00357E25"/>
    <w:rsid w:val="00362824"/>
    <w:rsid w:val="00364564"/>
    <w:rsid w:val="003717BC"/>
    <w:rsid w:val="003861D9"/>
    <w:rsid w:val="0038633F"/>
    <w:rsid w:val="00386E96"/>
    <w:rsid w:val="0038796E"/>
    <w:rsid w:val="0039147E"/>
    <w:rsid w:val="0039347D"/>
    <w:rsid w:val="003947E7"/>
    <w:rsid w:val="00397073"/>
    <w:rsid w:val="003A4357"/>
    <w:rsid w:val="003B1B35"/>
    <w:rsid w:val="003B69F2"/>
    <w:rsid w:val="003C1515"/>
    <w:rsid w:val="003D16FB"/>
    <w:rsid w:val="003D6CAD"/>
    <w:rsid w:val="003E782D"/>
    <w:rsid w:val="0040072D"/>
    <w:rsid w:val="0040360C"/>
    <w:rsid w:val="004108A4"/>
    <w:rsid w:val="004136CC"/>
    <w:rsid w:val="00424124"/>
    <w:rsid w:val="0043533D"/>
    <w:rsid w:val="00452ED8"/>
    <w:rsid w:val="0045494F"/>
    <w:rsid w:val="004567DF"/>
    <w:rsid w:val="004575E7"/>
    <w:rsid w:val="00472630"/>
    <w:rsid w:val="00473883"/>
    <w:rsid w:val="00476D80"/>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098B"/>
    <w:rsid w:val="00502217"/>
    <w:rsid w:val="00502BBF"/>
    <w:rsid w:val="00503CD9"/>
    <w:rsid w:val="005046CD"/>
    <w:rsid w:val="00505437"/>
    <w:rsid w:val="005070DB"/>
    <w:rsid w:val="005073A2"/>
    <w:rsid w:val="00513F0F"/>
    <w:rsid w:val="00517ADA"/>
    <w:rsid w:val="0054183B"/>
    <w:rsid w:val="005462B4"/>
    <w:rsid w:val="00547298"/>
    <w:rsid w:val="00551429"/>
    <w:rsid w:val="00553AD6"/>
    <w:rsid w:val="00553C32"/>
    <w:rsid w:val="0056183E"/>
    <w:rsid w:val="005639EC"/>
    <w:rsid w:val="00565A69"/>
    <w:rsid w:val="00571687"/>
    <w:rsid w:val="00572F15"/>
    <w:rsid w:val="00573F7A"/>
    <w:rsid w:val="00575124"/>
    <w:rsid w:val="00584BF4"/>
    <w:rsid w:val="00584D96"/>
    <w:rsid w:val="00590ADB"/>
    <w:rsid w:val="005A21DC"/>
    <w:rsid w:val="005B35A2"/>
    <w:rsid w:val="005B4F80"/>
    <w:rsid w:val="005B5E3C"/>
    <w:rsid w:val="005B7900"/>
    <w:rsid w:val="005D41DD"/>
    <w:rsid w:val="005E1D78"/>
    <w:rsid w:val="005F776D"/>
    <w:rsid w:val="0060359F"/>
    <w:rsid w:val="0061336A"/>
    <w:rsid w:val="006309DE"/>
    <w:rsid w:val="00632BDC"/>
    <w:rsid w:val="0064390B"/>
    <w:rsid w:val="00655C81"/>
    <w:rsid w:val="00663C6D"/>
    <w:rsid w:val="006714ED"/>
    <w:rsid w:val="006738B9"/>
    <w:rsid w:val="00674F9C"/>
    <w:rsid w:val="006751D2"/>
    <w:rsid w:val="006770CA"/>
    <w:rsid w:val="00686C3A"/>
    <w:rsid w:val="0069606B"/>
    <w:rsid w:val="00697F82"/>
    <w:rsid w:val="006A0598"/>
    <w:rsid w:val="006A498D"/>
    <w:rsid w:val="006A66DA"/>
    <w:rsid w:val="006A7394"/>
    <w:rsid w:val="006B2EDA"/>
    <w:rsid w:val="006B59B9"/>
    <w:rsid w:val="006C0EB6"/>
    <w:rsid w:val="006C0F37"/>
    <w:rsid w:val="006D330F"/>
    <w:rsid w:val="006D6080"/>
    <w:rsid w:val="006E3377"/>
    <w:rsid w:val="006E625F"/>
    <w:rsid w:val="006F3085"/>
    <w:rsid w:val="006F5FD0"/>
    <w:rsid w:val="006F7885"/>
    <w:rsid w:val="007046C8"/>
    <w:rsid w:val="00706E7C"/>
    <w:rsid w:val="00710A38"/>
    <w:rsid w:val="007121FB"/>
    <w:rsid w:val="007129D6"/>
    <w:rsid w:val="00712CB3"/>
    <w:rsid w:val="00715755"/>
    <w:rsid w:val="00724794"/>
    <w:rsid w:val="007471C5"/>
    <w:rsid w:val="00750FF8"/>
    <w:rsid w:val="00753FC2"/>
    <w:rsid w:val="00756C38"/>
    <w:rsid w:val="00761673"/>
    <w:rsid w:val="00761893"/>
    <w:rsid w:val="007653F4"/>
    <w:rsid w:val="00770822"/>
    <w:rsid w:val="00771F97"/>
    <w:rsid w:val="007727F3"/>
    <w:rsid w:val="007807A8"/>
    <w:rsid w:val="007874C8"/>
    <w:rsid w:val="00794A92"/>
    <w:rsid w:val="00796976"/>
    <w:rsid w:val="00796CC5"/>
    <w:rsid w:val="007A04AC"/>
    <w:rsid w:val="007A4037"/>
    <w:rsid w:val="007B4C5E"/>
    <w:rsid w:val="007C352C"/>
    <w:rsid w:val="007D51F2"/>
    <w:rsid w:val="007D6292"/>
    <w:rsid w:val="007D72C0"/>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1315"/>
    <w:rsid w:val="008323D3"/>
    <w:rsid w:val="008351FF"/>
    <w:rsid w:val="00862885"/>
    <w:rsid w:val="0087086B"/>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771"/>
    <w:rsid w:val="00913817"/>
    <w:rsid w:val="00925F7F"/>
    <w:rsid w:val="009260B8"/>
    <w:rsid w:val="0092731B"/>
    <w:rsid w:val="009317C0"/>
    <w:rsid w:val="009352F4"/>
    <w:rsid w:val="00940E1D"/>
    <w:rsid w:val="009432E9"/>
    <w:rsid w:val="009441F8"/>
    <w:rsid w:val="00947EAA"/>
    <w:rsid w:val="009510CB"/>
    <w:rsid w:val="00952960"/>
    <w:rsid w:val="00954FB8"/>
    <w:rsid w:val="00956BA0"/>
    <w:rsid w:val="009707C4"/>
    <w:rsid w:val="00970A93"/>
    <w:rsid w:val="00970B01"/>
    <w:rsid w:val="00971962"/>
    <w:rsid w:val="00971CC5"/>
    <w:rsid w:val="00980AEA"/>
    <w:rsid w:val="0099013F"/>
    <w:rsid w:val="00991002"/>
    <w:rsid w:val="00994EA3"/>
    <w:rsid w:val="009A38DE"/>
    <w:rsid w:val="009B06B5"/>
    <w:rsid w:val="009B69BE"/>
    <w:rsid w:val="009D52FE"/>
    <w:rsid w:val="009E5BC1"/>
    <w:rsid w:val="009F128B"/>
    <w:rsid w:val="009F5FB4"/>
    <w:rsid w:val="00A00BD5"/>
    <w:rsid w:val="00A021B5"/>
    <w:rsid w:val="00A02E6B"/>
    <w:rsid w:val="00A03055"/>
    <w:rsid w:val="00A046E7"/>
    <w:rsid w:val="00A04B00"/>
    <w:rsid w:val="00A11931"/>
    <w:rsid w:val="00A171EA"/>
    <w:rsid w:val="00A22177"/>
    <w:rsid w:val="00A236A4"/>
    <w:rsid w:val="00A35946"/>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255"/>
    <w:rsid w:val="00AC0D0C"/>
    <w:rsid w:val="00AC4530"/>
    <w:rsid w:val="00AC7E0D"/>
    <w:rsid w:val="00AD1660"/>
    <w:rsid w:val="00AD1E4D"/>
    <w:rsid w:val="00AE1D8D"/>
    <w:rsid w:val="00AE4633"/>
    <w:rsid w:val="00AE6A5B"/>
    <w:rsid w:val="00AF0B6B"/>
    <w:rsid w:val="00AF412E"/>
    <w:rsid w:val="00AF7BB3"/>
    <w:rsid w:val="00B00363"/>
    <w:rsid w:val="00B05BBC"/>
    <w:rsid w:val="00B063F9"/>
    <w:rsid w:val="00B06D60"/>
    <w:rsid w:val="00B112A1"/>
    <w:rsid w:val="00B14398"/>
    <w:rsid w:val="00B200AF"/>
    <w:rsid w:val="00B27B8B"/>
    <w:rsid w:val="00B32E1C"/>
    <w:rsid w:val="00B33EE6"/>
    <w:rsid w:val="00B34163"/>
    <w:rsid w:val="00B46840"/>
    <w:rsid w:val="00B503CB"/>
    <w:rsid w:val="00B50F8D"/>
    <w:rsid w:val="00B60EC5"/>
    <w:rsid w:val="00B738A7"/>
    <w:rsid w:val="00B7586A"/>
    <w:rsid w:val="00B766F9"/>
    <w:rsid w:val="00B805A5"/>
    <w:rsid w:val="00B83DA1"/>
    <w:rsid w:val="00B84AED"/>
    <w:rsid w:val="00B90EE0"/>
    <w:rsid w:val="00B92478"/>
    <w:rsid w:val="00B95B9B"/>
    <w:rsid w:val="00BA0765"/>
    <w:rsid w:val="00BA44A3"/>
    <w:rsid w:val="00BA7C3E"/>
    <w:rsid w:val="00BB2689"/>
    <w:rsid w:val="00BB5B65"/>
    <w:rsid w:val="00BC353E"/>
    <w:rsid w:val="00BD65BA"/>
    <w:rsid w:val="00BE08EC"/>
    <w:rsid w:val="00BE3544"/>
    <w:rsid w:val="00BE595A"/>
    <w:rsid w:val="00BE5F29"/>
    <w:rsid w:val="00BE783C"/>
    <w:rsid w:val="00C00D44"/>
    <w:rsid w:val="00C03AF5"/>
    <w:rsid w:val="00C04FCE"/>
    <w:rsid w:val="00C0772E"/>
    <w:rsid w:val="00C100E2"/>
    <w:rsid w:val="00C147B2"/>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92A1D"/>
    <w:rsid w:val="00CA3B1B"/>
    <w:rsid w:val="00CB23E3"/>
    <w:rsid w:val="00CB759D"/>
    <w:rsid w:val="00CB7AAE"/>
    <w:rsid w:val="00CC0A41"/>
    <w:rsid w:val="00CC3BA0"/>
    <w:rsid w:val="00CC48C9"/>
    <w:rsid w:val="00CC4DA8"/>
    <w:rsid w:val="00CD765A"/>
    <w:rsid w:val="00CE388A"/>
    <w:rsid w:val="00CE49A1"/>
    <w:rsid w:val="00CF759C"/>
    <w:rsid w:val="00D00216"/>
    <w:rsid w:val="00D011CD"/>
    <w:rsid w:val="00D14A9D"/>
    <w:rsid w:val="00D17A30"/>
    <w:rsid w:val="00D225CC"/>
    <w:rsid w:val="00D22682"/>
    <w:rsid w:val="00D240C3"/>
    <w:rsid w:val="00D2786B"/>
    <w:rsid w:val="00D32849"/>
    <w:rsid w:val="00D33DD9"/>
    <w:rsid w:val="00D41AAF"/>
    <w:rsid w:val="00D434A7"/>
    <w:rsid w:val="00D46724"/>
    <w:rsid w:val="00D517A4"/>
    <w:rsid w:val="00D51C7E"/>
    <w:rsid w:val="00D549F4"/>
    <w:rsid w:val="00D64101"/>
    <w:rsid w:val="00D8773C"/>
    <w:rsid w:val="00D93082"/>
    <w:rsid w:val="00DA0ABA"/>
    <w:rsid w:val="00DA1EE7"/>
    <w:rsid w:val="00DC0253"/>
    <w:rsid w:val="00DC4F70"/>
    <w:rsid w:val="00DC753D"/>
    <w:rsid w:val="00DD0CD4"/>
    <w:rsid w:val="00DE4D55"/>
    <w:rsid w:val="00DF04F0"/>
    <w:rsid w:val="00E07F96"/>
    <w:rsid w:val="00E147D3"/>
    <w:rsid w:val="00E1782A"/>
    <w:rsid w:val="00E21BC3"/>
    <w:rsid w:val="00E23A94"/>
    <w:rsid w:val="00E30BB5"/>
    <w:rsid w:val="00E31447"/>
    <w:rsid w:val="00E422A2"/>
    <w:rsid w:val="00E5220B"/>
    <w:rsid w:val="00E6172B"/>
    <w:rsid w:val="00E66A55"/>
    <w:rsid w:val="00E713DA"/>
    <w:rsid w:val="00E74FCB"/>
    <w:rsid w:val="00E813B7"/>
    <w:rsid w:val="00E82874"/>
    <w:rsid w:val="00E845AC"/>
    <w:rsid w:val="00E867FC"/>
    <w:rsid w:val="00E9047D"/>
    <w:rsid w:val="00EA399C"/>
    <w:rsid w:val="00EB4C19"/>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56673"/>
    <w:rsid w:val="00F60220"/>
    <w:rsid w:val="00F75866"/>
    <w:rsid w:val="00F77C8A"/>
    <w:rsid w:val="00F86771"/>
    <w:rsid w:val="00F9055E"/>
    <w:rsid w:val="00F91683"/>
    <w:rsid w:val="00FA17FC"/>
    <w:rsid w:val="00FB17AC"/>
    <w:rsid w:val="00FC622D"/>
    <w:rsid w:val="00FD3059"/>
    <w:rsid w:val="00FD7C42"/>
    <w:rsid w:val="00FE236F"/>
    <w:rsid w:val="00FE4D9A"/>
    <w:rsid w:val="00FE4E4B"/>
    <w:rsid w:val="00FE62A5"/>
    <w:rsid w:val="00FE6A9C"/>
    <w:rsid w:val="00FE6CB8"/>
    <w:rsid w:val="00FF1872"/>
    <w:rsid w:val="00FF4C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43BB3006"/>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1"/>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table" w:styleId="TableGrid">
    <w:name w:val="Table Grid"/>
    <w:basedOn w:val="TableNormal"/>
    <w:uiPriority w:val="39"/>
    <w:rsid w:val="005B790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353921282">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D9441-641A-8847-BED2-EE51CB614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TotalTime>
  <Pages>8</Pages>
  <Words>2191</Words>
  <Characters>12490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14652</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Георги Цветков</cp:lastModifiedBy>
  <cp:revision>44</cp:revision>
  <cp:lastPrinted>2016-05-31T08:36:00Z</cp:lastPrinted>
  <dcterms:created xsi:type="dcterms:W3CDTF">2018-12-18T11:34:00Z</dcterms:created>
  <dcterms:modified xsi:type="dcterms:W3CDTF">2019-08-28T15:28:00Z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